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172-184 vom 23. Mai 2011</w:t>
      </w:r>
    </w:p>
    <w:p>
      <w:r>
        <w:t>VS Kantonsgericht, 2011-05-23, DE</w:t>
      </w:r>
    </w:p>
    <w:p>
      <w:r>
        <w:rPr>
          <w:b/>
        </w:rPr>
        <w:t xml:space="preserve">Quelle: </w:t>
      </w:r>
      <w:r>
        <w:t>https://mcp.opencaselaw.ch/entscheid/vs_gerichte_RVJ_2013_p._172-184</w:t>
      </w:r>
    </w:p>
    <w:p>
      <w:r>
        <w:t>FR: VS_GERICHTE RVJ 2013 p. 172-184 du 23 mai 2011</w:t>
      </w:r>
    </w:p>
    <w:p>
      <w:r>
        <w:t>IT: VS_GERICHTE RVJ 2013 p. 172-184 del 23 maggio 2011</w:t>
      </w:r>
    </w:p>
    <w:p>
      <w:pPr>
        <w:pStyle w:val="Heading2"/>
      </w:pPr>
      <w:r>
        <w:t>Regeste</w:t>
      </w:r>
    </w:p>
    <w:p>
      <w:r>
        <w:t>172 RVJ / ZWR 2013 Droit des obligations Obligationenrecht Droit des obligations – assistance judiciaire, cédule hypothécaire, devoir d’information de la banque – ATC (Juge de la Chambre civile) du 23 mai 2011, Dame X. c. Banque Y. – TCV</w:t>
      </w:r>
    </w:p>
    <w:p>
      <w:pPr>
        <w:pStyle w:val="Heading2"/>
      </w:pPr>
      <w:r>
        <w:t>Volltext</w:t>
      </w:r>
    </w:p>
    <w:p>
      <w:r>
        <w:t>Wallis Kantonsgericht 23.05.2011 RVJ 2013 p. 172-184 (TCVS C3-11-6) Valais Tribunal cantonal 23.05.2011 RVJ 2013 p. 172-184 (TCVS C3-11-6) Vallese Kantonsgericht 23.05.2011 RVJ 2013 p. 172-184 (TCVS C3-11-6)</w:t>
      </w:r>
    </w:p>
    <w:p>
      <w:r>
        <w:t>172 RVJ / ZWR 2013 Droit des obligations Obligationenrecht Droit des obligations – assistance judiciaire, cédule hypothécaire, devoir d’information de la banque – ATC (Juge de la Chambre civile) du 23 mai 2011, Dame X. c. Banque Y. – TCV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