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84-89 vom 11. November 2011</w:t>
      </w:r>
    </w:p>
    <w:p>
      <w:r>
        <w:t>VS Kantonsgericht, 2011-11-11, DE</w:t>
      </w:r>
    </w:p>
    <w:p>
      <w:r>
        <w:rPr>
          <w:b/>
        </w:rPr>
        <w:t xml:space="preserve">Quelle: </w:t>
      </w:r>
      <w:r>
        <w:t>https://mcp.opencaselaw.ch/entscheid/vs_gerichte_RVJ_2012_p._84-89</w:t>
      </w:r>
    </w:p>
    <w:p>
      <w:r>
        <w:t>FR: VS_GERICHTE RVJ 2012 p. 84-89 du 11 novembre 2011</w:t>
      </w:r>
    </w:p>
    <w:p>
      <w:r>
        <w:t>IT: VS_GERICHTE RVJ 2012 p. 84-89 del 11 novembre 2011</w:t>
      </w:r>
    </w:p>
    <w:p>
      <w:pPr>
        <w:pStyle w:val="Heading2"/>
      </w:pPr>
      <w:r>
        <w:t>Regeste</w:t>
      </w:r>
    </w:p>
    <w:p>
      <w:r>
        <w:t>84 RVJ / ZWR 2012 TCVS A1 11 131 Régime communal – ATC (Cour de droit public) du 11 novembre 2011 – A12011 131 Indemnisation d’un conseiller communal – Distinction entre lacune et silence qualifié ; constat de l’existence d’une lacune (co</w:t>
      </w:r>
    </w:p>
    <w:p>
      <w:pPr>
        <w:pStyle w:val="Heading2"/>
      </w:pPr>
      <w:r>
        <w:t>Volltext</w:t>
      </w:r>
    </w:p>
    <w:p>
      <w:r>
        <w:t>Wallis Kantonsgericht 11.11.2011 RVJ 2012 p. 84-89 (TCVS A1-11-131) Valais Tribunal cantonal 11.11.2011 RVJ 2012 p. 84-89 (TCVS A1-11-131) Vallese Kantonsgericht 11.11.2011 RVJ 2012 p. 84-89 (TCVS A1-11-131)</w:t>
      </w:r>
    </w:p>
    <w:p>
      <w:r>
        <w:t>84 RVJ / ZWR 2012 TCVS A1 11 131 Régime communal – ATC (Cour de droit public) du 11 novembre 2011 – A12011 131 Indemnisation d’un conseiller communal – Distinction entre lacune et silence qualifié ; constat de l’existence d’une lacune (co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