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49-58 vom 3. Dezember 2010</w:t>
      </w:r>
    </w:p>
    <w:p>
      <w:r>
        <w:t>VS Kantonsgericht, 2010-12-03, DE</w:t>
      </w:r>
    </w:p>
    <w:p>
      <w:r>
        <w:rPr>
          <w:b/>
        </w:rPr>
        <w:t xml:space="preserve">Quelle: </w:t>
      </w:r>
      <w:r>
        <w:t>https://mcp.opencaselaw.ch/entscheid/vs_gerichte_RVJ_2012_p._49-58</w:t>
      </w:r>
    </w:p>
    <w:p>
      <w:r>
        <w:t>FR: VS_GERICHTE RVJ 2012 p. 49-58 du 3 décembre 2010</w:t>
      </w:r>
    </w:p>
    <w:p>
      <w:r>
        <w:t>IT: VS_GERICHTE RVJ 2012 p. 49-58 del 3 dicembre 2010</w:t>
      </w:r>
    </w:p>
    <w:p>
      <w:pPr>
        <w:pStyle w:val="Heading2"/>
      </w:pPr>
      <w:r>
        <w:t>Regeste</w:t>
      </w:r>
    </w:p>
    <w:p>
      <w:r>
        <w:t>RVJ / ZWR 2012 49 Forêts Wald TCVS A1 10 182 Forêts – ATC (Cour de droit public) du 3 décembre 2010 – A1 2010 182 Aménagement en forêt d’un chemin privé desservant un mayen – Nécessité d’obtenir un permis de construire en zone forêt (art.</w:t>
      </w:r>
    </w:p>
    <w:p>
      <w:pPr>
        <w:pStyle w:val="Heading2"/>
      </w:pPr>
      <w:r>
        <w:t>Volltext</w:t>
      </w:r>
    </w:p>
    <w:p>
      <w:r>
        <w:t>Wallis Kantonsgericht 03.12.2010 RVJ 2012 p. 49-58 (TCVS A1-10-182) Valais Tribunal cantonal 03.12.2010 RVJ 2012 p. 49-58 (TCVS A1-10-182) Vallese Kantonsgericht 03.12.2010 RVJ 2012 p. 49-58 (TCVS A1-10-182)</w:t>
      </w:r>
    </w:p>
    <w:p>
      <w:r>
        <w:t>RVJ / ZWR 2012 49 Forêts Wald TCVS A1 10 182 Forêts – ATC (Cour de droit public) du 3 décembre 2010 – A1 2010 182 Aménagement en forêt d’un chemin privé desservant un mayen – Nécessité d’obtenir un permis de construire en zone forêt (art.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