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38-42 vom 14. Januar 2011</w:t>
      </w:r>
    </w:p>
    <w:p>
      <w:r>
        <w:t>VS Kantonsgericht, 2011-01-14, DE</w:t>
      </w:r>
    </w:p>
    <w:p>
      <w:r>
        <w:rPr>
          <w:b/>
        </w:rPr>
        <w:t xml:space="preserve">Quelle: </w:t>
      </w:r>
      <w:r>
        <w:t>https://mcp.opencaselaw.ch/entscheid/vs_gerichte_RVJ_2012_p._38-42</w:t>
      </w:r>
    </w:p>
    <w:p>
      <w:r>
        <w:t>FR: VS_GERICHTE RVJ 2012 p. 38-42 du 14 janvier 2011</w:t>
      </w:r>
    </w:p>
    <w:p>
      <w:r>
        <w:t>IT: VS_GERICHTE RVJ 2012 p. 38-42 del 14 gennaio 2011</w:t>
      </w:r>
    </w:p>
    <w:p>
      <w:pPr>
        <w:pStyle w:val="Heading2"/>
      </w:pPr>
      <w:r>
        <w:t>Regeste</w:t>
      </w:r>
    </w:p>
    <w:p>
      <w:r>
        <w:t>38 RVJ / ZWR 2012 TCVS A1 10 197 Constructions – ATC (Cour de droit public) du 14 janvier 2011 – A1 2010 197 Accès à la voie publique – Exigences posées par le droit public des constructions (art. 19 al. 1, 22 al. 2 et 3 LAT ; consid. 3).</w:t>
      </w:r>
    </w:p>
    <w:p>
      <w:pPr>
        <w:pStyle w:val="Heading2"/>
      </w:pPr>
      <w:r>
        <w:t>Volltext</w:t>
      </w:r>
    </w:p>
    <w:p>
      <w:r>
        <w:t>Wallis Kantonsgericht 14.01.2011 RVJ 2012 p. 38-42 (TCVS A1-10-197) Valais Tribunal cantonal 14.01.2011 RVJ 2012 p. 38-42 (TCVS A1-10-197) Vallese Kantonsgericht 14.01.2011 RVJ 2012 p. 38-42 (TCVS A1-10-197)</w:t>
      </w:r>
    </w:p>
    <w:p>
      <w:r>
        <w:t>38 RVJ / ZWR 2012 TCVS A1 10 197 Constructions – ATC (Cour de droit public) du 14 janvier 2011 – A1 2010 197 Accès à la voie publique – Exigences posées par le droit public des constructions (art. 19 al. 1, 22 al. 2 et 3 LAT ; consid. 3).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