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2012 p. 36-38 vom 21. Januar 2011</w:t>
      </w:r>
    </w:p>
    <w:p>
      <w:r>
        <w:t>VS Kantonsgericht, 2011-01-21, DE</w:t>
      </w:r>
    </w:p>
    <w:p>
      <w:r>
        <w:rPr>
          <w:b/>
        </w:rPr>
        <w:t xml:space="preserve">Quelle: </w:t>
      </w:r>
      <w:r>
        <w:t>https://mcp.opencaselaw.ch/entscheid/vs_gerichte_RVJ_2012_p._36-38</w:t>
      </w:r>
    </w:p>
    <w:p>
      <w:r>
        <w:t>FR: VS_GERICHTE RVJ 2012 p. 36-38 du 21 janvier 2011</w:t>
      </w:r>
    </w:p>
    <w:p>
      <w:r>
        <w:t>IT: VS_GERICHTE RVJ 2012 p. 36-38 del 21 gennaio 2011</w:t>
      </w:r>
    </w:p>
    <w:p>
      <w:pPr>
        <w:pStyle w:val="Heading2"/>
      </w:pPr>
      <w:r>
        <w:t>Regeste</w:t>
      </w:r>
    </w:p>
    <w:p>
      <w:r>
        <w:t>36 RVJ / ZWR 2012 Constructions Bauwesen TCVS A1 10 185 Constructions – ATC (Cour de droit public) du 21 janvier 2011 – A1 2010 185 Rénovation d’un mayen à l’état de ruine – Situé hors de la zone à bâtir, le projet de rénovation ne peut pa</w:t>
      </w:r>
    </w:p>
    <w:p>
      <w:pPr>
        <w:pStyle w:val="Heading2"/>
      </w:pPr>
      <w:r>
        <w:t>Volltext</w:t>
      </w:r>
    </w:p>
    <w:p>
      <w:r>
        <w:t>Wallis Kantonsgericht 21.01.2011 RVJ 2012 p. 36-38 (TCVS A1-10-185) Valais Tribunal cantonal 21.01.2011 RVJ 2012 p. 36-38 (TCVS A1-10-185) Vallese Kantonsgericht 21.01.2011 RVJ 2012 p. 36-38 (TCVS A1-10-185)</w:t>
      </w:r>
    </w:p>
    <w:p>
      <w:r>
        <w:t>36 RVJ / ZWR 2012 Constructions Bauwesen TCVS A1 10 185 Constructions – ATC (Cour de droit public) du 21 janvier 2011 – A1 2010 185 Rénovation d’un mayen à l’état de ruine – Situé hors de la zone à bâtir, le projet de rénovation ne peut pa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