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340-347 vom 9. März 2011</w:t>
      </w:r>
    </w:p>
    <w:p>
      <w:r>
        <w:t>VS Kantonsgericht, 2011-03-09, DE</w:t>
      </w:r>
    </w:p>
    <w:p>
      <w:r>
        <w:rPr>
          <w:b/>
        </w:rPr>
        <w:t xml:space="preserve">Quelle: </w:t>
      </w:r>
      <w:r>
        <w:t>https://mcp.opencaselaw.ch/entscheid/vs_gerichte_RVJ_2012_p._340-347</w:t>
      </w:r>
    </w:p>
    <w:p>
      <w:r>
        <w:t>FR: VS_GERICHTE RVJ 2012 p. 340-347 du 9 mars 2011</w:t>
      </w:r>
    </w:p>
    <w:p>
      <w:r>
        <w:t>IT: VS_GERICHTE RVJ 2012 p. 340-347 del 9 marzo 2011</w:t>
      </w:r>
    </w:p>
    <w:p>
      <w:pPr>
        <w:pStyle w:val="Heading2"/>
      </w:pPr>
      <w:r>
        <w:t>Regeste</w:t>
      </w:r>
    </w:p>
    <w:p>
      <w:r>
        <w:t>340 RVJ / ZWR 2012 TCVS P1 10 41 Droit pénal – Criminalité sur Internet, pornographie – ATC (Juge de la Courpénale II) du 9 mars 2011, Ministère public c. X. – TCV P1 10 41 Criminalité sur Internet, pornographie – Compétences du service d</w:t>
      </w:r>
    </w:p>
    <w:p>
      <w:pPr>
        <w:pStyle w:val="Heading2"/>
      </w:pPr>
      <w:r>
        <w:t>Volltext</w:t>
      </w:r>
    </w:p>
    <w:p>
      <w:r>
        <w:t>Wallis Kantonsgericht 09.03.2011 RVJ 2012 p. 340-347 (TCVS P1-10-41) Valais Tribunal cantonal 09.03.2011 RVJ 2012 p. 340-347 (TCVS P1-10-41) Vallese Kantonsgericht 09.03.2011 RVJ 2012 p. 340-347 (TCVS P1-10-41)</w:t>
      </w:r>
    </w:p>
    <w:p>
      <w:r>
        <w:t>340 RVJ / ZWR 2012 TCVS P1 10 41 Droit pénal – Criminalité sur Internet, pornographie – ATC (Juge de la Courpénale II) du 9 mars 2011, Ministère public c. X. – TCV P1 10 41 Criminalité sur Internet, pornographie – Compétences du service d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