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330-339 vom 22. Februar 2011</w:t>
      </w:r>
    </w:p>
    <w:p>
      <w:r>
        <w:t>VS Kantonsgericht, 2011-02-22, DE</w:t>
      </w:r>
    </w:p>
    <w:p>
      <w:r>
        <w:rPr>
          <w:b/>
        </w:rPr>
        <w:t xml:space="preserve">Quelle: </w:t>
      </w:r>
      <w:r>
        <w:t>https://mcp.opencaselaw.ch/entscheid/vs_gerichte_RVJ_2012_p._330-339</w:t>
      </w:r>
    </w:p>
    <w:p>
      <w:r>
        <w:t>FR: VS_GERICHTE RVJ 2012 p. 330-339 du 22 février 2011</w:t>
      </w:r>
    </w:p>
    <w:p>
      <w:r>
        <w:t>IT: VS_GERICHTE RVJ 2012 p. 330-339 del 22 febbraio 2011</w:t>
      </w:r>
    </w:p>
    <w:p>
      <w:pPr>
        <w:pStyle w:val="Heading2"/>
      </w:pPr>
      <w:r>
        <w:t>Regeste</w:t>
      </w:r>
    </w:p>
    <w:p>
      <w:r>
        <w:t>330 RVJ / ZWR 2012 Droit pénal Strafrecht TCVS P1 09 57 Droit pénal – dommage considérable à la propriété – ATC (Juge de la courpénale II) du 22 février 2011, Ministère public c. dame X. et X.– TCV P1 09 57 Dommage considérable à la propri</w:t>
      </w:r>
    </w:p>
    <w:p>
      <w:pPr>
        <w:pStyle w:val="Heading2"/>
      </w:pPr>
      <w:r>
        <w:t>Volltext</w:t>
      </w:r>
    </w:p>
    <w:p>
      <w:r>
        <w:t>Wallis Kantonsgericht 22.02.2011 RVJ 2012 p. 330-339 (TCVS P1-09-57) Valais Tribunal cantonal 22.02.2011 RVJ 2012 p. 330-339 (TCVS P1-09-57) Vallese Kantonsgericht 22.02.2011 RVJ 2012 p. 330-339 (TCVS P1-09-57)</w:t>
      </w:r>
    </w:p>
    <w:p>
      <w:r>
        <w:t>330 RVJ / ZWR 2012 Droit pénal Strafrecht TCVS P1 09 57 Droit pénal – dommage considérable à la propriété – ATC (Juge de la courpénale II) du 22 février 2011, Ministère public c. dame X. et X.– TCV P1 09 57 Dommage considérable à la propri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