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327-329 vom 31. August 2011</w:t>
      </w:r>
    </w:p>
    <w:p>
      <w:r>
        <w:t>VS Kantonsgericht, 2011-08-31, DE</w:t>
      </w:r>
    </w:p>
    <w:p>
      <w:r>
        <w:rPr>
          <w:b/>
        </w:rPr>
        <w:t xml:space="preserve">Quelle: </w:t>
      </w:r>
      <w:r>
        <w:t>https://mcp.opencaselaw.ch/entscheid/vs_gerichte_RVJ_2012_p._327-329</w:t>
      </w:r>
    </w:p>
    <w:p>
      <w:r>
        <w:t>FR: VS_GERICHTE RVJ 2012 p. 327-329 du 31 août 2011</w:t>
      </w:r>
    </w:p>
    <w:p>
      <w:r>
        <w:t>IT: VS_GERICHTE RVJ 2012 p. 327-329 del 31 agosto 2011</w:t>
      </w:r>
    </w:p>
    <w:p>
      <w:pPr>
        <w:pStyle w:val="Heading2"/>
      </w:pPr>
      <w:r>
        <w:t>Regeste</w:t>
      </w:r>
    </w:p>
    <w:p>
      <w:r>
        <w:t>RVJ / ZWR 2012 327 TCVS P3 11 137 Procédure pénale – procédure devant le juge de l’application des peines etmesures – moyens de preuve – ATC (Juge de la Chambre pénale) du 31 août2011, X. c. Tribunal de l’application des peines et mesures</w:t>
      </w:r>
    </w:p>
    <w:p>
      <w:pPr>
        <w:pStyle w:val="Heading2"/>
      </w:pPr>
      <w:r>
        <w:t>Volltext</w:t>
      </w:r>
    </w:p>
    <w:p>
      <w:r>
        <w:t>Wallis Kantonsgericht 31.08.2011 RVJ 2012 p. 327-329 (TCVS P3-11-137) Valais Tribunal cantonal 31.08.2011 RVJ 2012 p. 327-329 (TCVS P3-11-137) Vallese Kantonsgericht 31.08.2011 RVJ 2012 p. 327-329 (TCVS P3-11-137)</w:t>
      </w:r>
    </w:p>
    <w:p>
      <w:r>
        <w:t>RVJ / ZWR 2012 327 TCVS P3 11 137 Procédure pénale – procédure devant le juge de l’application des peines etmesures – moyens de preuve – ATC (Juge de la Chambre pénale) du 31 août2011, X. c. Tribunal de l’application des peines et mesures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