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RVJ 2012 p. 293-303 vom 15. Februar 2012</w:t>
      </w:r>
    </w:p>
    <w:p>
      <w:r>
        <w:t>VS Kantonsgericht, 2012-02-15, DE</w:t>
      </w:r>
    </w:p>
    <w:p>
      <w:r>
        <w:rPr>
          <w:b/>
        </w:rPr>
        <w:t xml:space="preserve">Quelle: </w:t>
      </w:r>
      <w:r>
        <w:t>https://mcp.opencaselaw.ch/entscheid/vs_gerichte_RVJ_2012_p._293-303</w:t>
      </w:r>
    </w:p>
    <w:p>
      <w:r>
        <w:t>FR: VS_GERICHTE RVJ 2012 p. 293-303 du 15 février 2012</w:t>
      </w:r>
    </w:p>
    <w:p>
      <w:r>
        <w:t>IT: VS_GERICHTE RVJ 2012 p. 293-303 del 15 febbraio 2012</w:t>
      </w:r>
    </w:p>
    <w:p>
      <w:pPr>
        <w:pStyle w:val="Heading2"/>
      </w:pPr>
      <w:r>
        <w:t>Regeste</w:t>
      </w:r>
    </w:p>
    <w:p>
      <w:r>
        <w:t>RVJ / ZWR 2012 293 TCVS C2 11 47 Droit des obligations – protection des raisons de commerce – ATC (Cour civileII) du 15 février 2012, Alpin Chalet S.A. c. Y. – TCV C2 11 47 Mesures provisionnelles: protection des raisons de commerce – Comp</w:t>
      </w:r>
    </w:p>
    <w:p>
      <w:pPr>
        <w:pStyle w:val="Heading2"/>
      </w:pPr>
      <w:r>
        <w:t>Volltext</w:t>
      </w:r>
    </w:p>
    <w:p>
      <w:r>
        <w:t>Wallis Kantonsgericht 15.02.2012 RVJ 2012 p. 293-303 (TCVS C2-11-47) Valais Tribunal cantonal 15.02.2012 RVJ 2012 p. 293-303 (TCVS C2-11-47) Vallese Kantonsgericht 15.02.2012 RVJ 2012 p. 293-303 (TCVS C2-11-47)</w:t>
      </w:r>
    </w:p>
    <w:p>
      <w:r>
        <w:t>RVJ / ZWR 2012 293 TCVS C2 11 47 Droit des obligations – protection des raisons de commerce – ATC (Cour civileII) du 15 février 2012, Alpin Chalet S.A. c. Y. – TCV C2 11 47 Mesures provisionnelles: protection des raisons de commerce – Comp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