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2012 p. 275-278 vom 1. September 2011</w:t>
      </w:r>
    </w:p>
    <w:p>
      <w:r>
        <w:t>VS Kantonsgericht, 2011-09-01, DE</w:t>
      </w:r>
    </w:p>
    <w:p>
      <w:r>
        <w:rPr>
          <w:b/>
        </w:rPr>
        <w:t xml:space="preserve">Quelle: </w:t>
      </w:r>
      <w:r>
        <w:t>https://mcp.opencaselaw.ch/entscheid/vs_gerichte_RVJ_2012_p._275-278</w:t>
      </w:r>
    </w:p>
    <w:p>
      <w:r>
        <w:t>FR: VS_GERICHTE RVJ 2012 p. 275-278 du 1 septembre 2011</w:t>
      </w:r>
    </w:p>
    <w:p>
      <w:r>
        <w:t>IT: VS_GERICHTE RVJ 2012 p. 275-278 del 1 settembre 2011</w:t>
      </w:r>
    </w:p>
    <w:p>
      <w:pPr>
        <w:pStyle w:val="Heading2"/>
      </w:pPr>
      <w:r>
        <w:t>Regeste</w:t>
      </w:r>
    </w:p>
    <w:p>
      <w:r>
        <w:t>RVJ / ZWR 2012 275 TCVS C1 10 189 Droit civil – rémunération de l’exécuteur testamentaire – ATC (Juge de la Courcivile II) du 1er septembre 2011, dame X. c. Y. et consorts – TCV C1 10 189 Rémunération de l’exécuteur testamentaire ; consori</w:t>
      </w:r>
    </w:p>
    <w:p>
      <w:pPr>
        <w:pStyle w:val="Heading2"/>
      </w:pPr>
      <w:r>
        <w:t>Volltext</w:t>
      </w:r>
    </w:p>
    <w:p>
      <w:r>
        <w:t>Wallis Kantonsgericht 01.09.2011 RVJ 2012 p. 275-278 (TCVS C1-10-189) Valais Tribunal cantonal 01.09.2011 RVJ 2012 p. 275-278 (TCVS C1-10-189) Vallese Kantonsgericht 01.09.2011 RVJ 2012 p. 275-278 (TCVS C1-10-189)</w:t>
      </w:r>
    </w:p>
    <w:p>
      <w:r>
        <w:t>RVJ / ZWR 2012 275 TCVS C1 10 189 Droit civil – rémunération de l’exécuteur testamentaire – ATC (Juge de la Courcivile II) du 1er septembre 2011, dame X. c. Y. et consorts – TCV C1 10 189 Rémunération de l’exécuteur testamentaire ; consori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