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155-166 vom 16. Dezember 2010</w:t>
      </w:r>
    </w:p>
    <w:p>
      <w:r>
        <w:t>VS Kantonsgericht, 2010-12-16, DE</w:t>
      </w:r>
    </w:p>
    <w:p>
      <w:r>
        <w:rPr>
          <w:b/>
        </w:rPr>
        <w:t xml:space="preserve">Quelle: </w:t>
      </w:r>
      <w:r>
        <w:t>https://mcp.opencaselaw.ch/entscheid/vs_gerichte_RVJ_2012_p._155-166</w:t>
      </w:r>
    </w:p>
    <w:p>
      <w:r>
        <w:t>FR: VS_GERICHTE RVJ 2012 p. 155-166 du 16 décembre 2010</w:t>
      </w:r>
    </w:p>
    <w:p>
      <w:r>
        <w:t>IT: VS_GERICHTE RVJ 2012 p. 155-166 del 16 dicembre 2010</w:t>
      </w:r>
    </w:p>
    <w:p>
      <w:pPr>
        <w:pStyle w:val="Heading2"/>
      </w:pPr>
      <w:r>
        <w:t>Regeste</w:t>
      </w:r>
    </w:p>
    <w:p>
      <w:r>
        <w:t>RVJ / ZWR 2012 155 TCVS C1 10 32 Code civil – propriété par étages: immissions excessives – ATC (Cour civile II)du 16 décembre 2010, Dame X. c. Y. – TCV C1 10 32 Propriété par étages: action en cessation de trouble (immissions provenant d’</w:t>
      </w:r>
    </w:p>
    <w:p>
      <w:pPr>
        <w:pStyle w:val="Heading2"/>
      </w:pPr>
      <w:r>
        <w:t>Volltext</w:t>
      </w:r>
    </w:p>
    <w:p>
      <w:r>
        <w:t>Wallis Kantonsgericht 16.12.2010 RVJ 2012 p. 155-166 (TCVS C1-10-32) Valais Tribunal cantonal 16.12.2010 RVJ 2012 p. 155-166 (TCVS C1-10-32) Vallese Kantonsgericht 16.12.2010 RVJ 2012 p. 155-166 (TCVS C1-10-32)</w:t>
      </w:r>
    </w:p>
    <w:p>
      <w:r>
        <w:t>RVJ / ZWR 2012 155 TCVS C1 10 32 Code civil – propriété par étages: immissions excessives – ATC (Cour civile II)du 16 décembre 2010, Dame X. c. Y. – TCV C1 10 32 Propriété par étages: action en cessation de trouble (immissions provenant d’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