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118-123 vom 14. März 2011</w:t>
      </w:r>
    </w:p>
    <w:p>
      <w:r>
        <w:t>VS Kantonsgericht, 2011-03-14, DE</w:t>
      </w:r>
    </w:p>
    <w:p>
      <w:r>
        <w:rPr>
          <w:b/>
        </w:rPr>
        <w:t xml:space="preserve">Quelle: </w:t>
      </w:r>
      <w:r>
        <w:t>https://mcp.opencaselaw.ch/entscheid/vs_gerichte_RVJ_2012_p._118-123</w:t>
      </w:r>
    </w:p>
    <w:p>
      <w:r>
        <w:t>FR: VS_GERICHTE RVJ 2012 p. 118-123 du 14 mars 2011</w:t>
      </w:r>
    </w:p>
    <w:p>
      <w:r>
        <w:t>IT: VS_GERICHTE RVJ 2012 p. 118-123 del 14 marzo 2011</w:t>
      </w:r>
    </w:p>
    <w:p>
      <w:pPr>
        <w:pStyle w:val="Heading2"/>
      </w:pPr>
      <w:r>
        <w:t>Regeste</w:t>
      </w:r>
    </w:p>
    <w:p>
      <w:r>
        <w:t>118 RVJ / ZWR 2012 Assurance-maladie Krankenversicherung TCVS S2 10 94 ATC (Cour des assurances sociales) du 14 mars 2011, C. R. c. CSS Assurance-maladie SA – TCV S2 10 94 Exception à l’obligation de s’assurer ; notion de domicile – Sont n</w:t>
      </w:r>
    </w:p>
    <w:p>
      <w:pPr>
        <w:pStyle w:val="Heading2"/>
      </w:pPr>
      <w:r>
        <w:t>Volltext</w:t>
      </w:r>
    </w:p>
    <w:p>
      <w:r>
        <w:t>Wallis Kantonsgericht 14.03.2011 RVJ 2012 p. 118-123 (TCVS S2-10-94) Valais Tribunal cantonal 14.03.2011 RVJ 2012 p. 118-123 (TCVS S2-10-94) Vallese Kantonsgericht 14.03.2011 RVJ 2012 p. 118-123 (TCVS S2-10-94)</w:t>
      </w:r>
    </w:p>
    <w:p>
      <w:r>
        <w:t>118 RVJ / ZWR 2012 Assurance-maladie Krankenversicherung TCVS S2 10 94 ATC (Cour des assurances sociales) du 14 mars 2011, C. R. c. CSS Assurance-maladie SA – TCV S2 10 94 Exception à l’obligation de s’assurer ; notion de domicile – Sont 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