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284-291 vom 17. Juni 2010</w:t>
      </w:r>
    </w:p>
    <w:p>
      <w:r>
        <w:t>VS Kantonsgericht, 2010-06-17, DE</w:t>
      </w:r>
    </w:p>
    <w:p>
      <w:r>
        <w:rPr>
          <w:b/>
        </w:rPr>
        <w:t xml:space="preserve">Quelle: </w:t>
      </w:r>
      <w:r>
        <w:t>https://mcp.opencaselaw.ch/entscheid/vs_gerichte_RVJ_2011_p._284-291</w:t>
      </w:r>
    </w:p>
    <w:p>
      <w:r>
        <w:t>FR: VS_GERICHTE RVJ 2011 p. 284-291 du 17 juin 2010</w:t>
      </w:r>
    </w:p>
    <w:p>
      <w:r>
        <w:t>IT: VS_GERICHTE RVJ 2011 p. 284-291 del 17 giugno 2010</w:t>
      </w:r>
    </w:p>
    <w:p>
      <w:pPr>
        <w:pStyle w:val="Heading2"/>
      </w:pPr>
      <w:r>
        <w:t>Regeste</w:t>
      </w:r>
    </w:p>
    <w:p>
      <w:r>
        <w:t>284 RVJ / ZWR 2011 Droit pénal Strafrecht TCVS P1 09 7 Code pénal - diminution effective de l’actif au préjudice des créanciers, con-fiscation - ATC (Juge de la Cour pénale II) du 17 juin 2010, MP, Y. et dame X.c. X. - TCV P1 09 7 Diminuti</w:t>
      </w:r>
    </w:p>
    <w:p>
      <w:pPr>
        <w:pStyle w:val="Heading2"/>
      </w:pPr>
      <w:r>
        <w:t>Volltext</w:t>
      </w:r>
    </w:p>
    <w:p>
      <w:r>
        <w:t>Wallis Kantonsgericht 17.06.2010 RVJ 2011 p. 284-291 (TCVS P1-09-7) Valais Tribunal cantonal 17.06.2010 RVJ 2011 p. 284-291 (TCVS P1-09-7) Vallese Kantonsgericht 17.06.2010 RVJ 2011 p. 284-291 (TCVS P1-09-7)</w:t>
      </w:r>
    </w:p>
    <w:p>
      <w:r>
        <w:t>284 RVJ / ZWR 2011 Droit pénal Strafrecht TCVS P1 09 7 Code pénal - diminution effective de l’actif au préjudice des créanciers, con-fiscation - ATC (Juge de la Cour pénale II) du 17 juin 2010, MP, Y. et dame X.c. X. - TCV P1 09 7 Diminuti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