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186-191 vom 27. Mai 2010</w:t>
      </w:r>
    </w:p>
    <w:p>
      <w:r>
        <w:t>VS Kantonsgericht, 2010-05-27, DE</w:t>
      </w:r>
    </w:p>
    <w:p>
      <w:r>
        <w:rPr>
          <w:b/>
        </w:rPr>
        <w:t xml:space="preserve">Quelle: </w:t>
      </w:r>
      <w:r>
        <w:t>https://mcp.opencaselaw.ch/entscheid/vs_gerichte_RVJ_2011_p._186-191</w:t>
      </w:r>
    </w:p>
    <w:p>
      <w:r>
        <w:t>FR: VS_GERICHTE RVJ 2011 p. 186-191 du 27 mai 2010</w:t>
      </w:r>
    </w:p>
    <w:p>
      <w:r>
        <w:t>IT: VS_GERICHTE RVJ 2011 p. 186-191 del 27 maggio 2010</w:t>
      </w:r>
    </w:p>
    <w:p>
      <w:pPr>
        <w:pStyle w:val="Heading2"/>
      </w:pPr>
      <w:r>
        <w:t>Regeste</w:t>
      </w:r>
    </w:p>
    <w:p>
      <w:r>
        <w:t>186 RVJ / ZWR 2011 Registre foncier Grundbuch TCVS A1 10 55 Registre foncier - ATC (Cour de droit public) du 27 mai 2010 Obtention d’extraits – L’intérêt que peut avoir une banque à examiner l’état des charges hypothécaires afin de mieux é</w:t>
      </w:r>
    </w:p>
    <w:p>
      <w:pPr>
        <w:pStyle w:val="Heading2"/>
      </w:pPr>
      <w:r>
        <w:t>Volltext</w:t>
      </w:r>
    </w:p>
    <w:p>
      <w:r>
        <w:t>Wallis Kantonsgericht 27.05.2010 RVJ 2011 p. 186-191 (TCVS A1-10-55) Valais Tribunal cantonal 27.05.2010 RVJ 2011 p. 186-191 (TCVS A1-10-55) Vallese Kantonsgericht 27.05.2010 RVJ 2011 p. 186-191 (TCVS A1-10-55)</w:t>
      </w:r>
    </w:p>
    <w:p>
      <w:r>
        <w:t>186 RVJ / ZWR 2011 Registre foncier Grundbuch TCVS A1 10 55 Registre foncier - ATC (Cour de droit public) du 27 mai 2010 Obtention d’extraits – L’intérêt que peut avoir une banque à examiner l’état des charges hypothécaires afin de mieux 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