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145-149 vom 26. März 2009</w:t>
      </w:r>
    </w:p>
    <w:p>
      <w:r>
        <w:t>VS Kantonsgericht, 2009-03-26, DE</w:t>
      </w:r>
    </w:p>
    <w:p>
      <w:r>
        <w:rPr>
          <w:b/>
        </w:rPr>
        <w:t xml:space="preserve">Quelle: </w:t>
      </w:r>
      <w:r>
        <w:t>https://mcp.opencaselaw.ch/entscheid/vs_gerichte_RVJ_2010_p._145-149</w:t>
      </w:r>
    </w:p>
    <w:p>
      <w:r>
        <w:t>FR: VS_GERICHTE RVJ 2010 p. 145-149 du 26 mars 2009</w:t>
      </w:r>
    </w:p>
    <w:p>
      <w:r>
        <w:t>IT: VS_GERICHTE RVJ 2010 p. 145-149 del 26 marzo 2009</w:t>
      </w:r>
    </w:p>
    <w:p>
      <w:pPr>
        <w:pStyle w:val="Heading2"/>
      </w:pPr>
      <w:r>
        <w:t>Regeste</w:t>
      </w:r>
    </w:p>
    <w:p>
      <w:r>
        <w:t>RVJ / ZWR 2010 145 Droit civil - Zivilrecht TCVS C3 09 3 ATC (Cour de cassation civile) du 26 mars 2009, X. c. dame X. Mesures provisoires : refus ou réduction d’une contribution d’entretien (art. 125al. 3 CC) – Les motifs de refus ou de r</w:t>
      </w:r>
    </w:p>
    <w:p>
      <w:pPr>
        <w:pStyle w:val="Heading2"/>
      </w:pPr>
      <w:r>
        <w:t>Volltext</w:t>
      </w:r>
    </w:p>
    <w:p>
      <w:r>
        <w:t>Wallis Kantonsgericht 26.03.2009 RVJ 2010 p. 145-149 (TCVS C3-09-3) Valais Tribunal cantonal 26.03.2009 RVJ 2010 p. 145-149 (TCVS C3-09-3) Vallese Kantonsgericht 26.03.2009 RVJ 2010 p. 145-149 (TCVS C3-09-3)</w:t>
      </w:r>
    </w:p>
    <w:p>
      <w:r>
        <w:t>RVJ / ZWR 2010 145 Droit civil - Zivilrecht TCVS C3 09 3 ATC (Cour de cassation civile) du 26 mars 2009, X. c. dame X. Mesures provisoires : refus ou réduction d’une contribution d’entretien (art. 125al. 3 CC) – Les motifs de refus ou de 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