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14-21 vom 3. April 2009</w:t>
      </w:r>
    </w:p>
    <w:p>
      <w:r>
        <w:t>VS Kantonsgericht, 2009-04-03, DE</w:t>
      </w:r>
    </w:p>
    <w:p>
      <w:r>
        <w:rPr>
          <w:b/>
        </w:rPr>
        <w:t xml:space="preserve">Quelle: </w:t>
      </w:r>
      <w:r>
        <w:t>https://mcp.opencaselaw.ch/entscheid/vs_gerichte_RVJ_2010_p._14-21</w:t>
      </w:r>
    </w:p>
    <w:p>
      <w:r>
        <w:t>FR: VS_GERICHTE RVJ 2010 p. 14-21 du 3 avril 2009</w:t>
      </w:r>
    </w:p>
    <w:p>
      <w:r>
        <w:t>IT: VS_GERICHTE RVJ 2010 p. 14-21 del 3 aprile 2009</w:t>
      </w:r>
    </w:p>
    <w:p>
      <w:pPr>
        <w:pStyle w:val="Heading2"/>
      </w:pPr>
      <w:r>
        <w:t>Regeste</w:t>
      </w:r>
    </w:p>
    <w:p>
      <w:r>
        <w:t>14 RVJ / ZWR 2010 TCVS A1 09 26 Constructions – ATC (Cour de droit public) du 3 avril 2009. Police des constructions hors de la zone à bâtir – Compétence de la CCC, nonobstant l’art. 25 al. 2 OC (hiérarchie des normes; consid. 2a). – Exig</w:t>
      </w:r>
    </w:p>
    <w:p>
      <w:pPr>
        <w:pStyle w:val="Heading2"/>
      </w:pPr>
      <w:r>
        <w:t>Volltext</w:t>
      </w:r>
    </w:p>
    <w:p>
      <w:r>
        <w:t>Wallis Kantonsgericht 03.04.2009 RVJ 2010 p. 14-21 (TCVS A1-09-26) Valais Tribunal cantonal 03.04.2009 RVJ 2010 p. 14-21 (TCVS A1-09-26) Vallese Kantonsgericht 03.04.2009 RVJ 2010 p. 14-21 (TCVS A1-09-26)</w:t>
      </w:r>
    </w:p>
    <w:p>
      <w:r>
        <w:t>14 RVJ / ZWR 2010 TCVS A1 09 26 Constructions – ATC (Cour de droit public) du 3 avril 2009. Police des constructions hors de la zone à bâtir – Compétence de la CCC, nonobstant l’art. 25 al. 2 OC (hiérarchie des normes; consid. 2a). – Exig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