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334-336 vom 6. April 2009</w:t>
      </w:r>
    </w:p>
    <w:p>
      <w:r>
        <w:t>VS Kantonsgericht, 2009-04-06, DE</w:t>
      </w:r>
    </w:p>
    <w:p>
      <w:r>
        <w:rPr>
          <w:b/>
        </w:rPr>
        <w:t xml:space="preserve">Quelle: </w:t>
      </w:r>
      <w:r>
        <w:t>https://mcp.opencaselaw.ch/entscheid/vs_gerichte_RVJ_2009_p._334-336</w:t>
      </w:r>
    </w:p>
    <w:p>
      <w:r>
        <w:t>FR: VS_GERICHTE RVJ 2009 p. 334-336 du 6 avril 2009</w:t>
      </w:r>
    </w:p>
    <w:p>
      <w:r>
        <w:t>IT: VS_GERICHTE RVJ 2009 p. 334-336 del 6 aprile 2009</w:t>
      </w:r>
    </w:p>
    <w:p>
      <w:pPr>
        <w:pStyle w:val="Heading2"/>
      </w:pPr>
      <w:r>
        <w:t>Regeste</w:t>
      </w:r>
    </w:p>
    <w:p>
      <w:r>
        <w:t>334 RVJ / ZWR 2009 TCVS P1 08 18 ATC (Cour pénale I) du 6 avril 2009, Ministère public c. X. Suspension totale ou partielle de l’exécution d’une peine : assistance de proba-tion et règles de conduite – La règle de conduite doit être adapté</w:t>
      </w:r>
    </w:p>
    <w:p>
      <w:pPr>
        <w:pStyle w:val="Heading2"/>
      </w:pPr>
      <w:r>
        <w:t>Volltext</w:t>
      </w:r>
    </w:p>
    <w:p>
      <w:r>
        <w:t>Wallis Kantonsgericht 06.04.2009 RVJ 2009 p. 334-336 (TCVS P1-08-18) Valais Tribunal cantonal 06.04.2009 RVJ 2009 p. 334-336 (TCVS P1-08-18) Vallese Kantonsgericht 06.04.2009 RVJ 2009 p. 334-336 (TCVS P1-08-18)</w:t>
      </w:r>
    </w:p>
    <w:p>
      <w:r>
        <w:t>334 RVJ / ZWR 2009 TCVS P1 08 18 ATC (Cour pénale I) du 6 avril 2009, Ministère public c. X. Suspension totale ou partielle de l’exécution d’une peine : assistance de proba-tion et règles de conduite – La règle de conduite doit être adapté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