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2009 p. 325-327 vom 18. November 2008</w:t>
      </w:r>
    </w:p>
    <w:p>
      <w:r>
        <w:t>VS Kantonsgericht, 2008-11-18, DE</w:t>
      </w:r>
    </w:p>
    <w:p>
      <w:r>
        <w:rPr>
          <w:b/>
        </w:rPr>
        <w:t xml:space="preserve">Quelle: </w:t>
      </w:r>
      <w:r>
        <w:t>https://mcp.opencaselaw.ch/entscheid/vs_gerichte_RVJ_2009_p._325-327</w:t>
      </w:r>
    </w:p>
    <w:p>
      <w:r>
        <w:t>FR: VS_GERICHTE RVJ 2009 p. 325-327 du 18 novembre 2008</w:t>
      </w:r>
    </w:p>
    <w:p>
      <w:r>
        <w:t>IT: VS_GERICHTE RVJ 2009 p. 325-327 del 18 novembre 2008</w:t>
      </w:r>
    </w:p>
    <w:p>
      <w:pPr>
        <w:pStyle w:val="Heading2"/>
      </w:pPr>
      <w:r>
        <w:t>Regeste</w:t>
      </w:r>
    </w:p>
    <w:p>
      <w:r>
        <w:t>RVJ / ZWR 2009 325 TCVS P3 08 177 ATC (Autorité de plainte) du 18 novembre 2008, X. SA et consorts c. Office dujuge d’instruction du Valais central Séquestre en vue de l’exécution d’une créance compensatrice Le séquestre en vue de l’exécut</w:t>
      </w:r>
    </w:p>
    <w:p>
      <w:pPr>
        <w:pStyle w:val="Heading2"/>
      </w:pPr>
      <w:r>
        <w:t>Volltext</w:t>
      </w:r>
    </w:p>
    <w:p>
      <w:r>
        <w:t>Wallis Kantonsgericht 18.11.2008 RVJ 2009 p. 325-327 (TCVS P3-08-177) Valais Tribunal cantonal 18.11.2008 RVJ 2009 p. 325-327 (TCVS P3-08-177) Vallese Kantonsgericht 18.11.2008 RVJ 2009 p. 325-327 (TCVS P3-08-177)</w:t>
      </w:r>
    </w:p>
    <w:p>
      <w:r>
        <w:t>RVJ / ZWR 2009 325 TCVS P3 08 177 ATC (Autorité de plainte) du 18 novembre 2008, X. SA et consorts c. Office dujuge d’instruction du Valais central Séquestre en vue de l’exécution d’une créance compensatrice Le séquestre en vue de l’exécut</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