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RVJ 2009 p. 319-322 vom 25. März 2009</w:t>
      </w:r>
    </w:p>
    <w:p>
      <w:r>
        <w:t>VS Kantonsgericht, 2009-03-25, DE</w:t>
      </w:r>
    </w:p>
    <w:p>
      <w:r>
        <w:rPr>
          <w:b/>
        </w:rPr>
        <w:t xml:space="preserve">Quelle: </w:t>
      </w:r>
      <w:r>
        <w:t>https://mcp.opencaselaw.ch/entscheid/vs_gerichte_RVJ_2009_p._319-322</w:t>
      </w:r>
    </w:p>
    <w:p>
      <w:r>
        <w:t>FR: VS_GERICHTE RVJ 2009 p. 319-322 du 25 mars 2009</w:t>
      </w:r>
    </w:p>
    <w:p>
      <w:r>
        <w:t>IT: VS_GERICHTE RVJ 2009 p. 319-322 del 25 marzo 2009</w:t>
      </w:r>
    </w:p>
    <w:p>
      <w:pPr>
        <w:pStyle w:val="Heading2"/>
      </w:pPr>
      <w:r>
        <w:t>Regeste</w:t>
      </w:r>
    </w:p>
    <w:p>
      <w:r>
        <w:t>RVJ / ZWR 2009 319 Procédure pénale Strafprozessrecht TCVS P3 09 49 ATC (Autorité de plainte) du 25 mars 2009, X. c. Juge d’instruction du Valais central Ecriture de recours : contenu; qualité de lésé en cas d’infraction poursuivie d’of-fi</w:t>
      </w:r>
    </w:p>
    <w:p>
      <w:pPr>
        <w:pStyle w:val="Heading2"/>
      </w:pPr>
      <w:r>
        <w:t>Volltext</w:t>
      </w:r>
    </w:p>
    <w:p>
      <w:r>
        <w:t>Wallis Kantonsgericht 25.03.2009 RVJ 2009 p. 319-322 (TCVS P3-09-49) Valais Tribunal cantonal 25.03.2009 RVJ 2009 p. 319-322 (TCVS P3-09-49) Vallese Kantonsgericht 25.03.2009 RVJ 2009 p. 319-322 (TCVS P3-09-49)</w:t>
      </w:r>
    </w:p>
    <w:p>
      <w:r>
        <w:t>RVJ / ZWR 2009 319 Procédure pénale Strafprozessrecht TCVS P3 09 49 ATC (Autorité de plainte) du 25 mars 2009, X. c. Juge d’instruction du Valais central Ecriture de recours : contenu; qualité de lésé en cas d’infraction poursuivie d’of-fi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