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2009 p. 294-300 vom 17. Januar 2008</w:t>
      </w:r>
    </w:p>
    <w:p>
      <w:r>
        <w:t>VS Kantonsgericht, 2008-01-17, DE</w:t>
      </w:r>
    </w:p>
    <w:p>
      <w:r>
        <w:rPr>
          <w:b/>
        </w:rPr>
        <w:t xml:space="preserve">Quelle: </w:t>
      </w:r>
      <w:r>
        <w:t>https://mcp.opencaselaw.ch/entscheid/vs_gerichte_RVJ_2009_p._294-300</w:t>
      </w:r>
    </w:p>
    <w:p>
      <w:r>
        <w:t>FR: VS_GERICHTE RVJ 2009 p. 294-300 du 17 janvier 2008</w:t>
      </w:r>
    </w:p>
    <w:p>
      <w:r>
        <w:t>IT: VS_GERICHTE RVJ 2009 p. 294-300 del 17 gennaio 2008</w:t>
      </w:r>
    </w:p>
    <w:p>
      <w:pPr>
        <w:pStyle w:val="Heading2"/>
      </w:pPr>
      <w:r>
        <w:t>Regeste</w:t>
      </w:r>
    </w:p>
    <w:p>
      <w:r>
        <w:t>294 RVJ / ZWR 2009 TCVS C1 05 126 ATC (Cour civile I) du 17 janvier 2008, dame X. c. Y. Société d’actionnaires-locataires: légitimation passive – La qualité pour défendre ou légitimation passive est une condition de fond dont l’existence</w:t>
      </w:r>
    </w:p>
    <w:p>
      <w:pPr>
        <w:pStyle w:val="Heading2"/>
      </w:pPr>
      <w:r>
        <w:t>Volltext</w:t>
      </w:r>
    </w:p>
    <w:p>
      <w:r>
        <w:t>Wallis Kantonsgericht 17.01.2008 RVJ 2009 p. 294-300 (TCVS C1-05-126) Valais Tribunal cantonal 17.01.2008 RVJ 2009 p. 294-300 (TCVS C1-05-126) Vallese Kantonsgericht 17.01.2008 RVJ 2009 p. 294-300 (TCVS C1-05-126)</w:t>
      </w:r>
    </w:p>
    <w:p>
      <w:r>
        <w:t>294 RVJ / ZWR 2009 TCVS C1 05 126 ATC (Cour civile I) du 17 janvier 2008, dame X. c. Y. Société d’actionnaires-locataires: légitimation passive – La qualité pour défendre ou légitimation passive est une condition de fond dont l’existence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