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247-250 vom 3. März 2009</w:t>
      </w:r>
    </w:p>
    <w:p>
      <w:r>
        <w:t>VS Kantonsgericht, 2009-03-03, DE</w:t>
      </w:r>
    </w:p>
    <w:p>
      <w:r>
        <w:rPr>
          <w:b/>
        </w:rPr>
        <w:t xml:space="preserve">Quelle: </w:t>
      </w:r>
      <w:r>
        <w:t>https://mcp.opencaselaw.ch/entscheid/vs_gerichte_RVJ_2009_p._247-250</w:t>
      </w:r>
    </w:p>
    <w:p>
      <w:r>
        <w:t>FR: VS_GERICHTE RVJ 2009 p. 247-250 du 3 mars 2009</w:t>
      </w:r>
    </w:p>
    <w:p>
      <w:r>
        <w:t>IT: VS_GERICHTE RVJ 2009 p. 247-250 del 3 marzo 2009</w:t>
      </w:r>
    </w:p>
    <w:p>
      <w:pPr>
        <w:pStyle w:val="Heading2"/>
      </w:pPr>
      <w:r>
        <w:t>Regeste</w:t>
      </w:r>
    </w:p>
    <w:p>
      <w:r>
        <w:t>RVJ / ZWR 2009 247 TCVS C1 08 16 ATC (Cour civile I) du 3 mars 2009, banque X. c. Y. Légitimation et distraction des dépens (art. 260 al. 3 CPC) – Caractère accessoire de l’obligation de la caution (art. 492 al. 2 CO; consid. 8). – En vert</w:t>
      </w:r>
    </w:p>
    <w:p>
      <w:pPr>
        <w:pStyle w:val="Heading2"/>
      </w:pPr>
      <w:r>
        <w:t>Volltext</w:t>
      </w:r>
    </w:p>
    <w:p>
      <w:r>
        <w:t>Wallis Kantonsgericht 03.03.2009 RVJ 2009 p. 247-250 (TCVS C1-08-16) Valais Tribunal cantonal 03.03.2009 RVJ 2009 p. 247-250 (TCVS C1-08-16) Vallese Kantonsgericht 03.03.2009 RVJ 2009 p. 247-250 (TCVS C1-08-16)</w:t>
      </w:r>
    </w:p>
    <w:p>
      <w:r>
        <w:t>RVJ / ZWR 2009 247 TCVS C1 08 16 ATC (Cour civile I) du 3 mars 2009, banque X. c. Y. Légitimation et distraction des dépens (art. 260 al. 3 CPC) – Caractère accessoire de l’obligation de la caution (art. 492 al. 2 CO; consid. 8). – En vert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