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22-34 vom 24. Oktober 2008</w:t>
      </w:r>
    </w:p>
    <w:p>
      <w:r>
        <w:t>VS Kantonsgericht, 2008-10-24, DE</w:t>
      </w:r>
    </w:p>
    <w:p>
      <w:r>
        <w:rPr>
          <w:b/>
        </w:rPr>
        <w:t xml:space="preserve">Quelle: </w:t>
      </w:r>
      <w:r>
        <w:t>https://mcp.opencaselaw.ch/entscheid/vs_gerichte_RVJ_2009_p._22-34</w:t>
      </w:r>
    </w:p>
    <w:p>
      <w:r>
        <w:t>FR: VS_GERICHTE RVJ 2009 p. 22-34 du 24 octobre 2008</w:t>
      </w:r>
    </w:p>
    <w:p>
      <w:r>
        <w:t>IT: VS_GERICHTE RVJ 2009 p. 22-34 del 24 ottobre 2008</w:t>
      </w:r>
    </w:p>
    <w:p>
      <w:pPr>
        <w:pStyle w:val="Heading2"/>
      </w:pPr>
      <w:r>
        <w:t>Regeste</w:t>
      </w:r>
    </w:p>
    <w:p>
      <w:r>
        <w:t>22 Constructions TCVS A1 08 76 ACDP du 24 octobre 2008, Y. et consorts c. CE Protection des monuments historiques; esthétique des constructions; dérogations; protection de l'environnement − Les normes de droit public en vigueur sur la p</w:t>
      </w:r>
    </w:p>
    <w:p>
      <w:pPr>
        <w:pStyle w:val="Heading2"/>
      </w:pPr>
      <w:r>
        <w:t>Volltext</w:t>
      </w:r>
    </w:p>
    <w:p>
      <w:r>
        <w:t>Wallis Kantonsgericht 24.10.2008 RVJ 2009 p. 22-34 (TCVS A1-08-76) Valais Tribunal cantonal 24.10.2008 RVJ 2009 p. 22-34 (TCVS A1-08-76) Vallese Kantonsgericht 24.10.2008 RVJ 2009 p. 22-34 (TCVS A1-08-76)</w:t>
      </w:r>
    </w:p>
    <w:p>
      <w:r>
        <w:t>22 Constructions TCVS A1 08 76 ACDP du 24 octobre 2008, Y. et consorts c. CE Protection des monuments historiques; esthétique des constructions; dérogations; protection de l'environnement − Les normes de droit public en vigueur sur la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