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180-183 vom 27. Februar 2009</w:t>
      </w:r>
    </w:p>
    <w:p>
      <w:r>
        <w:t>VS Kantonsgericht, 2009-02-27, DE</w:t>
      </w:r>
    </w:p>
    <w:p>
      <w:r>
        <w:rPr>
          <w:b/>
        </w:rPr>
        <w:t xml:space="preserve">Quelle: </w:t>
      </w:r>
      <w:r>
        <w:t>https://mcp.opencaselaw.ch/entscheid/vs_gerichte_RVJ_2009_p._180-183</w:t>
      </w:r>
    </w:p>
    <w:p>
      <w:r>
        <w:t>FR: VS_GERICHTE RVJ 2009 p. 180-183 du 27 février 2009</w:t>
      </w:r>
    </w:p>
    <w:p>
      <w:r>
        <w:t>IT: VS_GERICHTE RVJ 2009 p. 180-183 del 27 febbraio 2009</w:t>
      </w:r>
    </w:p>
    <w:p>
      <w:pPr>
        <w:pStyle w:val="Heading2"/>
      </w:pPr>
      <w:r>
        <w:t>Regeste</w:t>
      </w:r>
    </w:p>
    <w:p>
      <w:r>
        <w:t>180 RVJ / ZWR 2009 TCVS ZZ 09 5 ATC (Présidente de l’autorité cantonale de surveillance des avocats) du27 février 2009, Me X. et consorts Levée du secret professionnel de l’avocat (art. 13 al. 1 LLCA) Garanti par le droit pénal (art. 321 c</w:t>
      </w:r>
    </w:p>
    <w:p>
      <w:pPr>
        <w:pStyle w:val="Heading2"/>
      </w:pPr>
      <w:r>
        <w:t>Volltext</w:t>
      </w:r>
    </w:p>
    <w:p>
      <w:r>
        <w:t>Wallis Kantonsgericht 27.02.2009 RVJ 2009 p. 180-183 (TCVS ZZ-09-5) Valais Tribunal cantonal 27.02.2009 RVJ 2009 p. 180-183 (TCVS ZZ-09-5) Vallese Kantonsgericht 27.02.2009 RVJ 2009 p. 180-183 (TCVS ZZ-09-5)</w:t>
      </w:r>
    </w:p>
    <w:p>
      <w:r>
        <w:t>180 RVJ / ZWR 2009 TCVS ZZ 09 5 ATC (Présidente de l’autorité cantonale de surveillance des avocats) du27 février 2009, Me X. et consorts Levée du secret professionnel de l’avocat (art. 13 al. 1 LLCA) Garanti par le droit pénal (art. 321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