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134-138 vom 4. August 2008</w:t>
      </w:r>
    </w:p>
    <w:p>
      <w:r>
        <w:t>VS Kantonsgericht, 2008-08-04, DE</w:t>
      </w:r>
    </w:p>
    <w:p>
      <w:r>
        <w:rPr>
          <w:b/>
        </w:rPr>
        <w:t xml:space="preserve">Quelle: </w:t>
      </w:r>
      <w:r>
        <w:t>https://mcp.opencaselaw.ch/entscheid/vs_gerichte_RVJ_2009_p._134-138</w:t>
      </w:r>
    </w:p>
    <w:p>
      <w:r>
        <w:t>FR: VS_GERICHTE RVJ 2009 p. 134-138 du 4 août 2008</w:t>
      </w:r>
    </w:p>
    <w:p>
      <w:r>
        <w:t>IT: VS_GERICHTE RVJ 2009 p. 134-138 del 4 agosto 2008</w:t>
      </w:r>
    </w:p>
    <w:p>
      <w:pPr>
        <w:pStyle w:val="Heading2"/>
      </w:pPr>
      <w:r>
        <w:t>Regeste</w:t>
      </w:r>
    </w:p>
    <w:p>
      <w:r>
        <w:t>134 RVJ / ZWR 2009 TCVS C1 07 60 ATC (Cour civile II) du 4 août 2008, X. Sàrl c. Y. et consorts Recours contre les jugements incidents du Tribunal du travail – L’appel contre un jugement incident du Tribunal du travail n’est donné que si l</w:t>
      </w:r>
    </w:p>
    <w:p>
      <w:pPr>
        <w:pStyle w:val="Heading2"/>
      </w:pPr>
      <w:r>
        <w:t>Volltext</w:t>
      </w:r>
    </w:p>
    <w:p>
      <w:r>
        <w:t>Wallis Kantonsgericht 04.08.2008 RVJ 2009 p. 134-138 (TCVS C1-07-60) Valais Tribunal cantonal 04.08.2008 RVJ 2009 p. 134-138 (TCVS C1-07-60) Vallese Kantonsgericht 04.08.2008 RVJ 2009 p. 134-138 (TCVS C1-07-60)</w:t>
      </w:r>
    </w:p>
    <w:p>
      <w:r>
        <w:t>134 RVJ / ZWR 2009 TCVS C1 07 60 ATC (Cour civile II) du 4 août 2008, X. Sàrl c. Y. et consorts Recours contre les jugements incidents du Tribunal du travail – L’appel contre un jugement incident du Tribunal du travail n’est donné que si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