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329-332 vom 27. Februar 2008</w:t>
      </w:r>
    </w:p>
    <w:p>
      <w:r>
        <w:t>VS Kantonsgericht, 2008-02-27, DE</w:t>
      </w:r>
    </w:p>
    <w:p>
      <w:r>
        <w:rPr>
          <w:b/>
        </w:rPr>
        <w:t xml:space="preserve">Quelle: </w:t>
      </w:r>
      <w:r>
        <w:t>https://mcp.opencaselaw.ch/entscheid/vs_gerichte_RVJ_2008_p._329-332</w:t>
      </w:r>
    </w:p>
    <w:p>
      <w:r>
        <w:t>FR: VS_GERICHTE RVJ 2008 p. 329-332 du 27 février 2008</w:t>
      </w:r>
    </w:p>
    <w:p>
      <w:r>
        <w:t>IT: VS_GERICHTE RVJ 2008 p. 329-332 del 27 febbraio 2008</w:t>
      </w:r>
    </w:p>
    <w:p>
      <w:pPr>
        <w:pStyle w:val="Heading2"/>
      </w:pPr>
      <w:r>
        <w:t>Regeste</w:t>
      </w:r>
    </w:p>
    <w:p>
      <w:r>
        <w:t>RVJ / ZWR 2008 329 TCVS P1 07 9 ATC (IIe Cour pénale) du 27 février 2008, X. c. Ministère public du Valais central. Sursis ordinaire et sursis partiel : conditions. – Dans le cas des peines privatives de liberté qui entrent dans le champ d</w:t>
      </w:r>
    </w:p>
    <w:p>
      <w:pPr>
        <w:pStyle w:val="Heading2"/>
      </w:pPr>
      <w:r>
        <w:t>Volltext</w:t>
      </w:r>
    </w:p>
    <w:p>
      <w:r>
        <w:t>Wallis Kantonsgericht 27.02.2008 RVJ 2008 p. 329-332 (TCVS P1-08-9) Valais Tribunal cantonal 27.02.2008 RVJ 2008 p. 329-332 (TCVS P1-08-9) Vallese Kantonsgericht 27.02.2008 RVJ 2008 p. 329-332 (TCVS P1-08-9)</w:t>
      </w:r>
    </w:p>
    <w:p>
      <w:r>
        <w:t>RVJ / ZWR 2008 329 TCVS P1 07 9 ATC (IIe Cour pénale) du 27 février 2008, X. c. Ministère public du Valais central. Sursis ordinaire et sursis partiel : conditions. – Dans le cas des peines privatives de liberté qui entrent dans le champ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