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2008 p. 321-323 vom 12. Juni 2008</w:t>
      </w:r>
    </w:p>
    <w:p>
      <w:r>
        <w:t>VS Kantonsgericht, 2008-06-12, DE</w:t>
      </w:r>
    </w:p>
    <w:p>
      <w:r>
        <w:rPr>
          <w:b/>
        </w:rPr>
        <w:t xml:space="preserve">Quelle: </w:t>
      </w:r>
      <w:r>
        <w:t>https://mcp.opencaselaw.ch/entscheid/vs_gerichte_RVJ_2008_p._321-323</w:t>
      </w:r>
    </w:p>
    <w:p>
      <w:r>
        <w:t>FR: VS_GERICHTE RVJ 2008 p. 321-323 du 12 juin 2008</w:t>
      </w:r>
    </w:p>
    <w:p>
      <w:r>
        <w:t>IT: VS_GERICHTE RVJ 2008 p. 321-323 del 12 giugno 2008</w:t>
      </w:r>
    </w:p>
    <w:p>
      <w:pPr>
        <w:pStyle w:val="Heading2"/>
      </w:pPr>
      <w:r>
        <w:t>Regeste</w:t>
      </w:r>
    </w:p>
    <w:p>
      <w:r>
        <w:t>RVJ / ZWR 2008 321 TCVS P3 08 76 ATC (Autorité de plainte) du 12 juin 2008, Société coopérative X. c. Juge d’in-struction cantonal. Obligation de motivation de la plainte. Exigences de motivation de la plainte, notamment lorsque des lacune</w:t>
      </w:r>
    </w:p>
    <w:p>
      <w:pPr>
        <w:pStyle w:val="Heading2"/>
      </w:pPr>
      <w:r>
        <w:t>Volltext</w:t>
      </w:r>
    </w:p>
    <w:p>
      <w:r>
        <w:t>Wallis Kantonsgericht 12.06.2008 RVJ 2008 p. 321-323 (TCVS P3-08-76) Valais Tribunal cantonal 12.06.2008 RVJ 2008 p. 321-323 (TCVS P3-08-76) Vallese Kantonsgericht 12.06.2008 RVJ 2008 p. 321-323 (TCVS P3-08-76)</w:t>
      </w:r>
    </w:p>
    <w:p>
      <w:r>
        <w:t>RVJ / ZWR 2008 321 TCVS P3 08 76 ATC (Autorité de plainte) du 12 juin 2008, Société coopérative X. c. Juge d’in-struction cantonal. Obligation de motivation de la plainte. Exigences de motivation de la plainte, notamment lorsque des lacune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