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2008 p. 31-40 vom 30. März 2007</w:t>
      </w:r>
    </w:p>
    <w:p>
      <w:r>
        <w:t>VS Kantonsgericht, 2007-03-30, DE</w:t>
      </w:r>
    </w:p>
    <w:p>
      <w:r>
        <w:rPr>
          <w:b/>
        </w:rPr>
        <w:t xml:space="preserve">Quelle: </w:t>
      </w:r>
      <w:r>
        <w:t>https://mcp.opencaselaw.ch/entscheid/vs_gerichte_RVJ_2008_p._31-40</w:t>
      </w:r>
    </w:p>
    <w:p>
      <w:r>
        <w:t>FR: VS_GERICHTE RVJ 2008 p. 31-40 du 30 mars 2007</w:t>
      </w:r>
    </w:p>
    <w:p>
      <w:r>
        <w:t>IT: VS_GERICHTE RVJ 2008 p. 31-40 del 30 marzo 2007</w:t>
      </w:r>
    </w:p>
    <w:p>
      <w:pPr>
        <w:pStyle w:val="Heading2"/>
      </w:pPr>
      <w:r>
        <w:t>Regeste</w:t>
      </w:r>
    </w:p>
    <w:p>
      <w:r>
        <w:t>RVJ / ZWR 2008 31 TCVS A1 07 4 ACDP du 30 mars 2007, Y. c. CE Plan d’aménagement détaillé (PAD) – Réquisits de leur adoption par le biais de la procédure d’autorisation de bâtir pré- vue à l’art. 12 al. 4 LcAT (consid. 2a-b). – Si le plan</w:t>
      </w:r>
    </w:p>
    <w:p>
      <w:pPr>
        <w:pStyle w:val="Heading2"/>
      </w:pPr>
      <w:r>
        <w:t>Volltext</w:t>
      </w:r>
    </w:p>
    <w:p>
      <w:r>
        <w:t>Wallis Kantonsgericht 30.03.2007 RVJ 2008 p. 31-40 (TCVS A1-07-4) Valais Tribunal cantonal 30.03.2007 RVJ 2008 p. 31-40 (TCVS A1-07-4) Vallese Kantonsgericht 30.03.2007 RVJ 2008 p. 31-40 (TCVS A1-07-4)</w:t>
      </w:r>
    </w:p>
    <w:p>
      <w:r>
        <w:t>RVJ / ZWR 2008 31 TCVS A1 07 4 ACDP du 30 mars 2007, Y. c. CE Plan d’aménagement détaillé (PAD) – Réquisits de leur adoption par le biais de la procédure d’autorisation de bâtir pré- vue à l’art. 12 al. 4 LcAT (consid. 2a-b). – Si le plan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