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23-31 vom 19. Januar 2007</w:t>
      </w:r>
    </w:p>
    <w:p>
      <w:r>
        <w:t>VS Kantonsgericht, 2007-01-19, DE</w:t>
      </w:r>
    </w:p>
    <w:p>
      <w:r>
        <w:rPr>
          <w:b/>
        </w:rPr>
        <w:t xml:space="preserve">Quelle: </w:t>
      </w:r>
      <w:r>
        <w:t>https://mcp.opencaselaw.ch/entscheid/vs_gerichte_RVJ_2008_p._23-31</w:t>
      </w:r>
    </w:p>
    <w:p>
      <w:r>
        <w:t>FR: VS_GERICHTE RVJ 2008 p. 23-31 du 19 janvier 2007</w:t>
      </w:r>
    </w:p>
    <w:p>
      <w:r>
        <w:t>IT: VS_GERICHTE RVJ 2008 p. 23-31 del 19 gennaio 2007</w:t>
      </w:r>
    </w:p>
    <w:p>
      <w:pPr>
        <w:pStyle w:val="Heading2"/>
      </w:pPr>
      <w:r>
        <w:t>Regeste</w:t>
      </w:r>
    </w:p>
    <w:p>
      <w:r>
        <w:t>RVJ / ZWR 2008 23 Aménagement du territoire Raumplanung TCVS A1 06 176 ACDP du 19 janvier 2007, Y. et consorts c. CE Plans d’affectation communaux ; équipement des zones à bâtir – Réquisits de la qualité pour recourir au sens de l’art. 33</w:t>
      </w:r>
    </w:p>
    <w:p>
      <w:pPr>
        <w:pStyle w:val="Heading2"/>
      </w:pPr>
      <w:r>
        <w:t>Volltext</w:t>
      </w:r>
    </w:p>
    <w:p>
      <w:r>
        <w:t>Wallis Kantonsgericht 19.01.2007 RVJ 2008 p. 23-31 (TCVS A1-06-176) Valais Tribunal cantonal 19.01.2007 RVJ 2008 p. 23-31 (TCVS A1-06-176) Vallese Kantonsgericht 19.01.2007 RVJ 2008 p. 23-31 (TCVS A1-06-176)</w:t>
      </w:r>
    </w:p>
    <w:p>
      <w:r>
        <w:t>RVJ / ZWR 2008 23 Aménagement du territoire Raumplanung TCVS A1 06 176 ACDP du 19 janvier 2007, Y. et consorts c. CE Plans d’affectation communaux ; équipement des zones à bâtir – Réquisits de la qualité pour recourir au sens de l’art. 33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