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219-222 vom 15. Oktober 2007</w:t>
      </w:r>
    </w:p>
    <w:p>
      <w:r>
        <w:t>VS Kantonsgericht, 2007-10-15, DE</w:t>
      </w:r>
    </w:p>
    <w:p>
      <w:r>
        <w:rPr>
          <w:b/>
        </w:rPr>
        <w:t xml:space="preserve">Quelle: </w:t>
      </w:r>
      <w:r>
        <w:t>https://mcp.opencaselaw.ch/entscheid/vs_gerichte_RVJ_2008_p._219-222</w:t>
      </w:r>
    </w:p>
    <w:p>
      <w:r>
        <w:t>FR: VS_GERICHTE RVJ 2008 p. 219-222 du 15 octobre 2007</w:t>
      </w:r>
    </w:p>
    <w:p>
      <w:r>
        <w:t>IT: VS_GERICHTE RVJ 2008 p. 219-222 del 15 ottobre 2007</w:t>
      </w:r>
    </w:p>
    <w:p>
      <w:pPr>
        <w:pStyle w:val="Heading2"/>
      </w:pPr>
      <w:r>
        <w:t>Regeste</w:t>
      </w:r>
    </w:p>
    <w:p>
      <w:r>
        <w:t>RVJ / ZWR 2008 219 Droit pénal Strafrecht TCVS P3 07 157 ATC (Autorité de plainte) du 15 octobre 2007, dame X. c. Office du juge d’in-struction du Valais central. Procédure à suivre en cas d’irresponsabilité de l’auteur d’une infraction pé</w:t>
      </w:r>
    </w:p>
    <w:p>
      <w:pPr>
        <w:pStyle w:val="Heading2"/>
      </w:pPr>
      <w:r>
        <w:t>Volltext</w:t>
      </w:r>
    </w:p>
    <w:p>
      <w:r>
        <w:t>Wallis Kantonsgericht 15.10.2007 RVJ 2008 p. 219-222 (TCVS P3-07-157) Valais Tribunal cantonal 15.10.2007 RVJ 2008 p. 219-222 (TCVS P3-07-157) Vallese Kantonsgericht 15.10.2007 RVJ 2008 p. 219-222 (TCVS P3-07-157)</w:t>
      </w:r>
    </w:p>
    <w:p>
      <w:r>
        <w:t>RVJ / ZWR 2008 219 Droit pénal Strafrecht TCVS P3 07 157 ATC (Autorité de plainte) du 15 octobre 2007, dame X. c. Office du juge d’in-struction du Valais central. Procédure à suivre en cas d’irresponsabilité de l’auteur d’une infraction pé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