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206-207 vom 26. November 2007</w:t>
      </w:r>
    </w:p>
    <w:p>
      <w:r>
        <w:t>VS Kantonsgericht, 2007-11-26, DE</w:t>
      </w:r>
    </w:p>
    <w:p>
      <w:r>
        <w:rPr>
          <w:b/>
        </w:rPr>
        <w:t xml:space="preserve">Quelle: </w:t>
      </w:r>
      <w:r>
        <w:t>https://mcp.opencaselaw.ch/entscheid/vs_gerichte_RVJ_2008_p._206-207</w:t>
      </w:r>
    </w:p>
    <w:p>
      <w:r>
        <w:t>FR: VS_GERICHTE RVJ 2008 p. 206-207 du 26 novembre 2007</w:t>
      </w:r>
    </w:p>
    <w:p>
      <w:r>
        <w:t>IT: VS_GERICHTE RVJ 2008 p. 206-207 del 26 novembre 2007</w:t>
      </w:r>
    </w:p>
    <w:p>
      <w:pPr>
        <w:pStyle w:val="Heading2"/>
      </w:pPr>
      <w:r>
        <w:t>Regeste</w:t>
      </w:r>
    </w:p>
    <w:p>
      <w:r>
        <w:t>206 RVJ / ZWR 2008 Procédure pénale Strafprozessrecht TCVS P3 07 188 ATC (Autorité de plainte) du 26 novembre 2007, X. c. Office du juge d’instruc-tion du Bas-Valais. Plainte à l’autorité de plainte ; objet. Par décisions ou mesures du jug</w:t>
      </w:r>
    </w:p>
    <w:p>
      <w:pPr>
        <w:pStyle w:val="Heading2"/>
      </w:pPr>
      <w:r>
        <w:t>Volltext</w:t>
      </w:r>
    </w:p>
    <w:p>
      <w:r>
        <w:t>Wallis Kantonsgericht 26.11.2007 RVJ 2008 p. 206-207 (TCVS P3-07-188) Valais Tribunal cantonal 26.11.2007 RVJ 2008 p. 206-207 (TCVS P3-07-188) Vallese Kantonsgericht 26.11.2007 RVJ 2008 p. 206-207 (TCVS P3-07-188)</w:t>
      </w:r>
    </w:p>
    <w:p>
      <w:r>
        <w:t>206 RVJ / ZWR 2008 Procédure pénale Strafprozessrecht TCVS P3 07 188 ATC (Autorité de plainte) du 26 novembre 2007, X. c. Office du juge d’instruc-tion du Bas-Valais. Plainte à l’autorité de plainte ; objet. Par décisions ou mesures du jug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