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145-149 vom 2. Juli 2007</w:t>
      </w:r>
    </w:p>
    <w:p>
      <w:r>
        <w:t>VS Kantonsgericht, 2007-07-02, DE</w:t>
      </w:r>
    </w:p>
    <w:p>
      <w:r>
        <w:rPr>
          <w:b/>
        </w:rPr>
        <w:t xml:space="preserve">Quelle: </w:t>
      </w:r>
      <w:r>
        <w:t>https://mcp.opencaselaw.ch/entscheid/vs_gerichte_RVJ_2008_p._145-149</w:t>
      </w:r>
    </w:p>
    <w:p>
      <w:r>
        <w:t>FR: VS_GERICHTE RVJ 2008 p. 145-149 du 2 juillet 2007</w:t>
      </w:r>
    </w:p>
    <w:p>
      <w:r>
        <w:t>IT: VS_GERICHTE RVJ 2008 p. 145-149 del 2 luglio 2007</w:t>
      </w:r>
    </w:p>
    <w:p>
      <w:pPr>
        <w:pStyle w:val="Heading2"/>
      </w:pPr>
      <w:r>
        <w:t>Regeste</w:t>
      </w:r>
    </w:p>
    <w:p>
      <w:r>
        <w:t>RVJ / ZWR 2008 145 TCVS C3 07 20 ATC (Autorité de cassation civile) du 2 juillet 2007, X. c. Y. SA. Administration d’un moyen de preuve d’office et fardeau de la preuve (art. 145al. 2 et 149 al. 1 CPC en relation avec l’art. 8 CC). – Limit</w:t>
      </w:r>
    </w:p>
    <w:p>
      <w:pPr>
        <w:pStyle w:val="Heading2"/>
      </w:pPr>
      <w:r>
        <w:t>Volltext</w:t>
      </w:r>
    </w:p>
    <w:p>
      <w:r>
        <w:t>Wallis Kantonsgericht 02.07.2007 RVJ 2008 p. 145-149 (TCVS C3-07-20) Valais Tribunal cantonal 02.07.2007 RVJ 2008 p. 145-149 (TCVS C3-07-20) Vallese Kantonsgericht 02.07.2007 RVJ 2008 p. 145-149 (TCVS C3-07-20)</w:t>
      </w:r>
    </w:p>
    <w:p>
      <w:r>
        <w:t>RVJ / ZWR 2008 145 TCVS C3 07 20 ATC (Autorité de cassation civile) du 2 juillet 2007, X. c. Y. SA. Administration d’un moyen de preuve d’office et fardeau de la preuve (art. 145al. 2 et 149 al. 1 CPC en relation avec l’art. 8 CC). – Limit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