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141-144 vom 12. März 2007</w:t>
      </w:r>
    </w:p>
    <w:p>
      <w:r>
        <w:t>VS Kantonsgericht, 2007-03-12, DE</w:t>
      </w:r>
    </w:p>
    <w:p>
      <w:r>
        <w:rPr>
          <w:b/>
        </w:rPr>
        <w:t xml:space="preserve">Quelle: </w:t>
      </w:r>
      <w:r>
        <w:t>https://mcp.opencaselaw.ch/entscheid/vs_gerichte_RVJ_2008_p._141-144</w:t>
      </w:r>
    </w:p>
    <w:p>
      <w:r>
        <w:t>FR: VS_GERICHTE RVJ 2008 p. 141-144 du 12 mars 2007</w:t>
      </w:r>
    </w:p>
    <w:p>
      <w:r>
        <w:t>IT: VS_GERICHTE RVJ 2008 p. 141-144 del 12 marzo 2007</w:t>
      </w:r>
    </w:p>
    <w:p>
      <w:pPr>
        <w:pStyle w:val="Heading2"/>
      </w:pPr>
      <w:r>
        <w:t>Regeste</w:t>
      </w:r>
    </w:p>
    <w:p>
      <w:r>
        <w:t>RVJ / ZWR 2008 141 TCVS C3 06 66 ATC (Cour de cassation civile) du 12 mars 2007, X. c. Y. Rectification du mémoire-demande (art. 128 al. 1 CPC). – Exigences de forme auxquelles est soumis le mémoire-demande (art. 126 al. 1 let. a CPC; cons</w:t>
      </w:r>
    </w:p>
    <w:p>
      <w:pPr>
        <w:pStyle w:val="Heading2"/>
      </w:pPr>
      <w:r>
        <w:t>Volltext</w:t>
      </w:r>
    </w:p>
    <w:p>
      <w:r>
        <w:t>Wallis Kantonsgericht 12.03.2007 RVJ 2008 p. 141-144 (TCVS C3-06-66) Valais Tribunal cantonal 12.03.2007 RVJ 2008 p. 141-144 (TCVS C3-06-66) Vallese Kantonsgericht 12.03.2007 RVJ 2008 p. 141-144 (TCVS C3-06-66)</w:t>
      </w:r>
    </w:p>
    <w:p>
      <w:r>
        <w:t>RVJ / ZWR 2008 141 TCVS C3 06 66 ATC (Cour de cassation civile) du 12 mars 2007, X. c. Y. Rectification du mémoire-demande (art. 128 al. 1 CPC). – Exigences de forme auxquelles est soumis le mémoire-demande (art. 126 al. 1 let. a CPC; cons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