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2007 p. 50-56 vom 31. August 2006</w:t>
      </w:r>
    </w:p>
    <w:p>
      <w:r>
        <w:t>VS Kantonsgericht, 2006-08-31, DE</w:t>
      </w:r>
    </w:p>
    <w:p>
      <w:r>
        <w:rPr>
          <w:b/>
        </w:rPr>
        <w:t xml:space="preserve">Quelle: </w:t>
      </w:r>
      <w:r>
        <w:t>https://mcp.opencaselaw.ch/entscheid/vs_gerichte_RVJ_2007_p._50-56</w:t>
      </w:r>
    </w:p>
    <w:p>
      <w:r>
        <w:t>FR: VS_GERICHTE RVJ 2007 p. 50-56 du 31 août 2006</w:t>
      </w:r>
    </w:p>
    <w:p>
      <w:r>
        <w:t>IT: VS_GERICHTE RVJ 2007 p. 50-56 del 31 agosto 2006</w:t>
      </w:r>
    </w:p>
    <w:p>
      <w:pPr>
        <w:pStyle w:val="Heading2"/>
      </w:pPr>
      <w:r>
        <w:t>Regeste</w:t>
      </w:r>
    </w:p>
    <w:p>
      <w:r>
        <w:t>50 Droit fiscal Steuerrecht TCVS A1 06 109 ACDP du 31 août 2006, Service cantonal des contributions c. CCR Imposition dans le temps; taxation des revenus extraordinaires; commerced’immeubles; qualité pour recourir du fisc – Recevabilité du</w:t>
      </w:r>
    </w:p>
    <w:p>
      <w:pPr>
        <w:pStyle w:val="Heading2"/>
      </w:pPr>
      <w:r>
        <w:t>Volltext</w:t>
      </w:r>
    </w:p>
    <w:p>
      <w:r>
        <w:t>Wallis Kantonsgericht 31.08.2006 RVJ 2007 p. 50-56 (TCVS A1-06-109) Valais Tribunal cantonal 31.08.2006 RVJ 2007 p. 50-56 (TCVS A1-06-109) Vallese Kantonsgericht 31.08.2006 RVJ 2007 p. 50-56 (TCVS A1-06-109)</w:t>
      </w:r>
    </w:p>
    <w:p>
      <w:r>
        <w:t>50 Droit fiscal Steuerrecht TCVS A1 06 109 ACDP du 31 août 2006, Service cantonal des contributions c. CCR Imposition dans le temps; taxation des revenus extraordinaires; commerced’immeubles; qualité pour recourir du fisc – Recevabilité du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