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277-287 vom 6. Oktober 2006</w:t>
      </w:r>
    </w:p>
    <w:p>
      <w:r>
        <w:t>VS Kantonsgericht, 2006-10-06, DE</w:t>
      </w:r>
    </w:p>
    <w:p>
      <w:r>
        <w:rPr>
          <w:b/>
        </w:rPr>
        <w:t xml:space="preserve">Quelle: </w:t>
      </w:r>
      <w:r>
        <w:t>https://mcp.opencaselaw.ch/entscheid/vs_gerichte_RVJ_2007_p._277-287</w:t>
      </w:r>
    </w:p>
    <w:p>
      <w:r>
        <w:t>FR: VS_GERICHTE RVJ 2007 p. 277-287 du 6 octobre 2006</w:t>
      </w:r>
    </w:p>
    <w:p>
      <w:r>
        <w:t>IT: VS_GERICHTE RVJ 2007 p. 277-287 del 6 ottobre 2006</w:t>
      </w:r>
    </w:p>
    <w:p>
      <w:pPr>
        <w:pStyle w:val="Heading2"/>
      </w:pPr>
      <w:r>
        <w:t>Regeste</w:t>
      </w:r>
    </w:p>
    <w:p>
      <w:r>
        <w:t>277 TCVS C1 04 185 ATC (Cour civile II) du 6 octobre 2006, époux X. c. C. Y. Contrat de rente viagère et indemnité pour longs rapports de services. – La distinction entre disposition pour cause de mort et actes entre vifs s’opère en foncti</w:t>
      </w:r>
    </w:p>
    <w:p>
      <w:pPr>
        <w:pStyle w:val="Heading2"/>
      </w:pPr>
      <w:r>
        <w:t>Volltext</w:t>
      </w:r>
    </w:p>
    <w:p>
      <w:r>
        <w:t>Wallis Kantonsgericht 06.10.2006 RVJ 2007 p. 277-287 (TCVS C1-04-185) Valais Tribunal cantonal 06.10.2006 RVJ 2007 p. 277-287 (TCVS C1-04-185) Vallese Kantonsgericht 06.10.2006 RVJ 2007 p. 277-287 (TCVS C1-04-185)</w:t>
      </w:r>
    </w:p>
    <w:p>
      <w:r>
        <w:t>277 TCVS C1 04 185 ATC (Cour civile II) du 6 octobre 2006, époux X. c. C. Y. Contrat de rente viagère et indemnité pour longs rapports de services. – La distinction entre disposition pour cause de mort et actes entre vifs s’opère en foncti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