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239-244 vom 7. September 2006</w:t>
      </w:r>
    </w:p>
    <w:p>
      <w:r>
        <w:t>VS Kantonsgericht, 2006-09-07, DE</w:t>
      </w:r>
    </w:p>
    <w:p>
      <w:r>
        <w:rPr>
          <w:b/>
        </w:rPr>
        <w:t xml:space="preserve">Quelle: </w:t>
      </w:r>
      <w:r>
        <w:t>https://mcp.opencaselaw.ch/entscheid/vs_gerichte_RVJ_2007_p._239-244</w:t>
      </w:r>
    </w:p>
    <w:p>
      <w:r>
        <w:t>FR: VS_GERICHTE RVJ 2007 p. 239-244 du 7 septembre 2006</w:t>
      </w:r>
    </w:p>
    <w:p>
      <w:r>
        <w:t>IT: VS_GERICHTE RVJ 2007 p. 239-244 del 7 settembre 2006</w:t>
      </w:r>
    </w:p>
    <w:p>
      <w:pPr>
        <w:pStyle w:val="Heading2"/>
      </w:pPr>
      <w:r>
        <w:t>Regeste</w:t>
      </w:r>
    </w:p>
    <w:p>
      <w:r>
        <w:t>239 Droit civil (CC) - Zivilrecht (ZGB) TCVS C1 05 134 ATC (IIe Cour civile) du 7 septembre 2006, X. c. Y. SA. Droit à l’image : notion d’atteinte illicite et conditions de la réparation du dom-mage patrimonial. – Notion de droit à l’image</w:t>
      </w:r>
    </w:p>
    <w:p>
      <w:pPr>
        <w:pStyle w:val="Heading2"/>
      </w:pPr>
      <w:r>
        <w:t>Volltext</w:t>
      </w:r>
    </w:p>
    <w:p>
      <w:r>
        <w:t>Wallis Kantonsgericht 07.09.2006 RVJ 2007 p. 239-244 (TCVS C1-05-134) Valais Tribunal cantonal 07.09.2006 RVJ 2007 p. 239-244 (TCVS C1-05-134) Vallese Kantonsgericht 07.09.2006 RVJ 2007 p. 239-244 (TCVS C1-05-134)</w:t>
      </w:r>
    </w:p>
    <w:p>
      <w:r>
        <w:t>239 Droit civil (CC) - Zivilrecht (ZGB) TCVS C1 05 134 ATC (IIe Cour civile) du 7 septembre 2006, X. c. Y. SA. Droit à l’image : notion d’atteinte illicite et conditions de la réparation du dom-mage patrimonial. – Notion de droit à l’image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