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2007 p. 214-215 vom 20. Februar 2006</w:t>
      </w:r>
    </w:p>
    <w:p>
      <w:r>
        <w:t>VS Kantonsgericht, 2006-02-20, DE</w:t>
      </w:r>
    </w:p>
    <w:p>
      <w:r>
        <w:rPr>
          <w:b/>
        </w:rPr>
        <w:t xml:space="preserve">Quelle: </w:t>
      </w:r>
      <w:r>
        <w:t>https://mcp.opencaselaw.ch/entscheid/vs_gerichte_RVJ_2007_p._214-215</w:t>
      </w:r>
    </w:p>
    <w:p>
      <w:r>
        <w:t>FR: VS_GERICHTE RVJ 2007 p. 214-215 du 20 février 2006</w:t>
      </w:r>
    </w:p>
    <w:p>
      <w:r>
        <w:t>IT: VS_GERICHTE RVJ 2007 p. 214-215 del 20 febbraio 2006</w:t>
      </w:r>
    </w:p>
    <w:p>
      <w:pPr>
        <w:pStyle w:val="Heading2"/>
      </w:pPr>
      <w:r>
        <w:t>Regeste</w:t>
      </w:r>
    </w:p>
    <w:p>
      <w:r>
        <w:t>214 Procédure pénale (CPP) Strafprozessrecht (StPO) TCVS P3 05 154 ATC (Chambre pénale) du 20 février 2006, X. c. Etat du Valais. Modalités de fixation des honoraires de l’avocat dans la procédure d’indem-nisation. La procédure d’indemnisa</w:t>
      </w:r>
    </w:p>
    <w:p>
      <w:pPr>
        <w:pStyle w:val="Heading2"/>
      </w:pPr>
      <w:r>
        <w:t>Volltext</w:t>
      </w:r>
    </w:p>
    <w:p>
      <w:r>
        <w:t>Wallis Kantonsgericht 20.02.2006 RVJ 2007 p. 214-215 (TCVS P3-05-154) Valais Tribunal cantonal 20.02.2006 RVJ 2007 p. 214-215 (TCVS P3-05-154) Vallese Kantonsgericht 20.02.2006 RVJ 2007 p. 214-215 (TCVS P3-05-154)</w:t>
      </w:r>
    </w:p>
    <w:p>
      <w:r>
        <w:t>214 Procédure pénale (CPP) Strafprozessrecht (StPO) TCVS P3 05 154 ATC (Chambre pénale) du 20 février 2006, X. c. Etat du Valais. Modalités de fixation des honoraires de l’avocat dans la procédure d’indem-nisation. La procédure d’indemnisa</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