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2007 p. 131-140 vom 12. September 2006</w:t>
      </w:r>
    </w:p>
    <w:p>
      <w:r>
        <w:t>VS Kantonsgericht, 2006-09-12, DE</w:t>
      </w:r>
    </w:p>
    <w:p>
      <w:r>
        <w:rPr>
          <w:b/>
        </w:rPr>
        <w:t xml:space="preserve">Quelle: </w:t>
      </w:r>
      <w:r>
        <w:t>https://mcp.opencaselaw.ch/entscheid/vs_gerichte_RVJ_2007_p._131-140</w:t>
      </w:r>
    </w:p>
    <w:p>
      <w:r>
        <w:t>FR: VS_GERICHTE RVJ 2007 p. 131-140 du 12 septembre 2006</w:t>
      </w:r>
    </w:p>
    <w:p>
      <w:r>
        <w:t>IT: VS_GERICHTE RVJ 2007 p. 131-140 del 12 settembre 2006</w:t>
      </w:r>
    </w:p>
    <w:p>
      <w:pPr>
        <w:pStyle w:val="Heading2"/>
      </w:pPr>
      <w:r>
        <w:t>Regeste</w:t>
      </w:r>
    </w:p>
    <w:p>
      <w:r>
        <w:t>131 TCVS C1 06 66 ATC (IIe Cour civile) du 12 septembre 2006, dame X. c. X. Divorce : force de chose jugée partielle; contenu de la réponse; principe de labonne foi; renvoi au premier juge. – Recevabilité et portée de l’appel contre la par</w:t>
      </w:r>
    </w:p>
    <w:p>
      <w:pPr>
        <w:pStyle w:val="Heading2"/>
      </w:pPr>
      <w:r>
        <w:t>Volltext</w:t>
      </w:r>
    </w:p>
    <w:p>
      <w:r>
        <w:t>Wallis Kantonsgericht 12.09.2006 RVJ 2007 p. 131-140 (TCVS C1-06-66) Valais Tribunal cantonal 12.09.2006 RVJ 2007 p. 131-140 (TCVS C1-06-66) Vallese Kantonsgericht 12.09.2006 RVJ 2007 p. 131-140 (TCVS C1-06-66)</w:t>
      </w:r>
    </w:p>
    <w:p>
      <w:r>
        <w:t>131 TCVS C1 06 66 ATC (IIe Cour civile) du 12 septembre 2006, dame X. c. X. Divorce : force de chose jugée partielle; contenu de la réponse; principe de labonne foi; renvoi au premier juge. – Recevabilité et portée de l’appel contre la par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