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2006 p. 321-326 vom 10. April 2006</w:t>
      </w:r>
    </w:p>
    <w:p>
      <w:r>
        <w:t>VS Kantonsgericht, 2006-04-10, DE</w:t>
      </w:r>
    </w:p>
    <w:p>
      <w:r>
        <w:rPr>
          <w:b/>
        </w:rPr>
        <w:t xml:space="preserve">Quelle: </w:t>
      </w:r>
      <w:r>
        <w:t>https://mcp.opencaselaw.ch/entscheid/vs_gerichte_RVJ_2006_p._321-326</w:t>
      </w:r>
    </w:p>
    <w:p>
      <w:r>
        <w:t>FR: VS_GERICHTE RVJ 2006 p. 321-326 du 10 avril 2006</w:t>
      </w:r>
    </w:p>
    <w:p>
      <w:r>
        <w:t>IT: VS_GERICHTE RVJ 2006 p. 321-326 del 10 aprile 2006</w:t>
      </w:r>
    </w:p>
    <w:p>
      <w:pPr>
        <w:pStyle w:val="Heading2"/>
      </w:pPr>
      <w:r>
        <w:t>Regeste</w:t>
      </w:r>
    </w:p>
    <w:p>
      <w:r>
        <w:t>321 TCVS P3 05 250 ATC (Chambre pénale) du 10 avril 2006, X. c. Office du juge d’instruction duBas-Valais. Nécessité de l’avocat d’office (art. 2 al. 3 LAJA). – Rappel des conditions d’octroi de l’assistance judiciaire en matière pénale et</w:t>
      </w:r>
    </w:p>
    <w:p>
      <w:pPr>
        <w:pStyle w:val="Heading2"/>
      </w:pPr>
      <w:r>
        <w:t>Volltext</w:t>
      </w:r>
    </w:p>
    <w:p>
      <w:r>
        <w:t>Wallis Kantonsgericht 10.04.2006 RVJ 2006 p. 321-326 (TCVS P3-05-250) Valais Tribunal cantonal 10.04.2006 RVJ 2006 p. 321-326 (TCVS P3-05-250) Vallese Kantonsgericht 10.04.2006 RVJ 2006 p. 321-326 (TCVS P3-05-250)</w:t>
      </w:r>
    </w:p>
    <w:p>
      <w:r>
        <w:t>321 TCVS P3 05 250 ATC (Chambre pénale) du 10 avril 2006, X. c. Office du juge d’instruction duBas-Valais. Nécessité de l’avocat d’office (art. 2 al. 3 LAJA). – Rappel des conditions d’octroi de l’assistance judiciaire en matière pénale et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