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314-317 vom 8. November 2005</w:t>
      </w:r>
    </w:p>
    <w:p>
      <w:r>
        <w:t>VS Kantonsgericht, 2005-11-08, DE</w:t>
      </w:r>
    </w:p>
    <w:p>
      <w:r>
        <w:rPr>
          <w:b/>
        </w:rPr>
        <w:t xml:space="preserve">Quelle: </w:t>
      </w:r>
      <w:r>
        <w:t>https://mcp.opencaselaw.ch/entscheid/vs_gerichte_RVJ_2006_p._314-317</w:t>
      </w:r>
    </w:p>
    <w:p>
      <w:r>
        <w:t>FR: VS_GERICHTE RVJ 2006 p. 314-317 du 8 novembre 2005</w:t>
      </w:r>
    </w:p>
    <w:p>
      <w:r>
        <w:t>IT: VS_GERICHTE RVJ 2006 p. 314-317 del 8 novembre 2005</w:t>
      </w:r>
    </w:p>
    <w:p>
      <w:pPr>
        <w:pStyle w:val="Heading2"/>
      </w:pPr>
      <w:r>
        <w:t>Regeste</w:t>
      </w:r>
    </w:p>
    <w:p>
      <w:r>
        <w:t>314 TCVS P3 05 190 ATC (Chambre pénale) du 8 novembre 2005, X. c. Office du juge d’instruc-tion cantonal. Expertise judiciaire: but et droits des parties. – Mission de l’expert judiciaire. Il aide le juge à décider en lui permettant de mie</w:t>
      </w:r>
    </w:p>
    <w:p>
      <w:pPr>
        <w:pStyle w:val="Heading2"/>
      </w:pPr>
      <w:r>
        <w:t>Volltext</w:t>
      </w:r>
    </w:p>
    <w:p>
      <w:r>
        <w:t>Wallis Kantonsgericht 08.11.2005 RVJ 2006 p. 314-317 (TCVS P3-05-190) Valais Tribunal cantonal 08.11.2005 RVJ 2006 p. 314-317 (TCVS P3-05-190) Vallese Kantonsgericht 08.11.2005 RVJ 2006 p. 314-317 (TCVS P3-05-190)</w:t>
      </w:r>
    </w:p>
    <w:p>
      <w:r>
        <w:t>314 TCVS P3 05 190 ATC (Chambre pénale) du 8 novembre 2005, X. c. Office du juge d’instruc-tion cantonal. Expertise judiciaire: but et droits des parties. – Mission de l’expert judiciaire. Il aide le juge à décider en lui permettant de mie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