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2006 p. 274-286 vom 17. Februar 2005</w:t>
      </w:r>
    </w:p>
    <w:p>
      <w:r>
        <w:t>VS Kantonsgericht, 2005-02-17, DE</w:t>
      </w:r>
    </w:p>
    <w:p>
      <w:r>
        <w:rPr>
          <w:b/>
        </w:rPr>
        <w:t xml:space="preserve">Quelle: </w:t>
      </w:r>
      <w:r>
        <w:t>https://mcp.opencaselaw.ch/entscheid/vs_gerichte_RVJ_2006_p._274-286</w:t>
      </w:r>
    </w:p>
    <w:p>
      <w:r>
        <w:t>FR: VS_GERICHTE RVJ 2006 p. 274-286 du 17 février 2005</w:t>
      </w:r>
    </w:p>
    <w:p>
      <w:r>
        <w:t>IT: VS_GERICHTE RVJ 2006 p. 274-286 del 17 febbraio 2005</w:t>
      </w:r>
    </w:p>
    <w:p>
      <w:pPr>
        <w:pStyle w:val="Heading2"/>
      </w:pPr>
      <w:r>
        <w:t>Regeste</w:t>
      </w:r>
    </w:p>
    <w:p>
      <w:r>
        <w:t>274 TCVS C1 03 158 ATC (IIe Cour civile) du 17 février 2005, X. c. Y. Contrat d’entreprise (vinification) : garantie des défauts de l’ouvrage; prescrip-tion; responsabilité du possesseur de mauvaise foi. – Le contrat de vinification est so</w:t>
      </w:r>
    </w:p>
    <w:p>
      <w:pPr>
        <w:pStyle w:val="Heading2"/>
      </w:pPr>
      <w:r>
        <w:t>Volltext</w:t>
      </w:r>
    </w:p>
    <w:p>
      <w:r>
        <w:t>Wallis Kantonsgericht 17.02.2005 RVJ 2006 p. 274-286 (TCVS C1-03-158) Valais Tribunal cantonal 17.02.2005 RVJ 2006 p. 274-286 (TCVS C1-03-158) Vallese Kantonsgericht 17.02.2005 RVJ 2006 p. 274-286 (TCVS C1-03-158)</w:t>
      </w:r>
    </w:p>
    <w:p>
      <w:r>
        <w:t>274 TCVS C1 03 158 ATC (IIe Cour civile) du 17 février 2005, X. c. Y. Contrat d’entreprise (vinification) : garantie des défauts de l’ouvrage; prescrip-tion; responsabilité du possesseur de mauvaise foi. – Le contrat de vinification est so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