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227-232 vom 24. März 2005</w:t>
      </w:r>
    </w:p>
    <w:p>
      <w:r>
        <w:t>VS Kantonsgericht, 2005-03-24, DE</w:t>
      </w:r>
    </w:p>
    <w:p>
      <w:r>
        <w:rPr>
          <w:b/>
        </w:rPr>
        <w:t xml:space="preserve">Quelle: </w:t>
      </w:r>
      <w:r>
        <w:t>https://mcp.opencaselaw.ch/entscheid/vs_gerichte_RVJ_2006_p._227-232</w:t>
      </w:r>
    </w:p>
    <w:p>
      <w:r>
        <w:t>FR: VS_GERICHTE RVJ 2006 p. 227-232 du 24 mars 2005</w:t>
      </w:r>
    </w:p>
    <w:p>
      <w:r>
        <w:t>IT: VS_GERICHTE RVJ 2006 p. 227-232 del 24 marzo 2005</w:t>
      </w:r>
    </w:p>
    <w:p>
      <w:pPr>
        <w:pStyle w:val="Heading2"/>
      </w:pPr>
      <w:r>
        <w:t>Regeste</w:t>
      </w:r>
    </w:p>
    <w:p>
      <w:r>
        <w:t>227 TCVS P3 04 201 ATC (Chambre pénale) du 24 mars 2005, X. Inc. et Y. c. Office du juged’instruction du Valais central. Atteinte à l’honneur et devoir d’information des autorités. – Notion d’honneur et subsidiarité des preuves libératoire</w:t>
      </w:r>
    </w:p>
    <w:p>
      <w:pPr>
        <w:pStyle w:val="Heading2"/>
      </w:pPr>
      <w:r>
        <w:t>Volltext</w:t>
      </w:r>
    </w:p>
    <w:p>
      <w:r>
        <w:t>Wallis Kantonsgericht 24.03.2005 RVJ 2006 p. 227-232 (TCVS P3-04-201) Valais Tribunal cantonal 24.03.2005 RVJ 2006 p. 227-232 (TCVS P3-04-201) Vallese Kantonsgericht 24.03.2005 RVJ 2006 p. 227-232 (TCVS P3-04-201)</w:t>
      </w:r>
    </w:p>
    <w:p>
      <w:r>
        <w:t>227 TCVS P3 04 201 ATC (Chambre pénale) du 24 mars 2005, X. Inc. et Y. c. Office du juged’instruction du Valais central. Atteinte à l’honneur et devoir d’information des autorités. – Notion d’honneur et subsidiarité des preuves libératoire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