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RVJ 2006 p. 207-210 vom 20. April 2005</w:t>
      </w:r>
    </w:p>
    <w:p>
      <w:r>
        <w:t>VS Kantonsgericht, 2005-04-20, DE</w:t>
      </w:r>
    </w:p>
    <w:p>
      <w:r>
        <w:rPr>
          <w:b/>
        </w:rPr>
        <w:t xml:space="preserve">Quelle: </w:t>
      </w:r>
      <w:r>
        <w:t>https://mcp.opencaselaw.ch/entscheid/vs_gerichte_RVJ_2006_p._207-210</w:t>
      </w:r>
    </w:p>
    <w:p>
      <w:r>
        <w:t>FR: VS_GERICHTE RVJ 2006 p. 207-210 du 20 avril 2005</w:t>
      </w:r>
    </w:p>
    <w:p>
      <w:r>
        <w:t>IT: VS_GERICHTE RVJ 2006 p. 207-210 del 20 aprile 2005</w:t>
      </w:r>
    </w:p>
    <w:p>
      <w:pPr>
        <w:pStyle w:val="Heading2"/>
      </w:pPr>
      <w:r>
        <w:t>Regeste</w:t>
      </w:r>
    </w:p>
    <w:p>
      <w:r>
        <w:t>207 TCVS P3 04 243 ATC (Chambre pénale) du 20 avril 2005, dame X. c. Juge d’instruction duValais central. Sort des dépens en cas de décision de refus de donner suite fondée sur l’ex-tinction de l’action pénale introduite sur plainte. – En</w:t>
      </w:r>
    </w:p>
    <w:p>
      <w:pPr>
        <w:pStyle w:val="Heading2"/>
      </w:pPr>
      <w:r>
        <w:t>Volltext</w:t>
      </w:r>
    </w:p>
    <w:p>
      <w:r>
        <w:t>Wallis Kantonsgericht 20.04.2005 RVJ 2006 p. 207-210 (TCVS P3-04-243) Valais Tribunal cantonal 20.04.2005 RVJ 2006 p. 207-210 (TCVS P3-04-243) Vallese Kantonsgericht 20.04.2005 RVJ 2006 p. 207-210 (TCVS P3-04-243)</w:t>
      </w:r>
    </w:p>
    <w:p>
      <w:r>
        <w:t>207 TCVS P3 04 243 ATC (Chambre pénale) du 20 avril 2005, dame X. c. Juge d’instruction duValais central. Sort des dépens en cas de décision de refus de donner suite fondée sur l’ex-tinction de l’action pénale introduite sur plainte. – En</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