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2006 p. 196-198 vom 25. April 2005</w:t>
      </w:r>
    </w:p>
    <w:p>
      <w:r>
        <w:t>VS Kantonsgericht, 2005-04-25, DE</w:t>
      </w:r>
    </w:p>
    <w:p>
      <w:r>
        <w:rPr>
          <w:b/>
        </w:rPr>
        <w:t xml:space="preserve">Quelle: </w:t>
      </w:r>
      <w:r>
        <w:t>https://mcp.opencaselaw.ch/entscheid/vs_gerichte_RVJ_2006_p._196-198</w:t>
      </w:r>
    </w:p>
    <w:p>
      <w:r>
        <w:t>FR: VS_GERICHTE RVJ 2006 p. 196-198 du 25 avril 2005</w:t>
      </w:r>
    </w:p>
    <w:p>
      <w:r>
        <w:t>IT: VS_GERICHTE RVJ 2006 p. 196-198 del 25 aprile 2005</w:t>
      </w:r>
    </w:p>
    <w:p>
      <w:pPr>
        <w:pStyle w:val="Heading2"/>
      </w:pPr>
      <w:r>
        <w:t>Regeste</w:t>
      </w:r>
    </w:p>
    <w:p>
      <w:r>
        <w:t>196 Poursuite pour dettes et faillite (LP) Schuldbetreibungs- und Konkursrecht (SCHKG) TCVS C3 04 141 ATC (Cour de cassation civile) du 25 avril 2005, X. c. Y. Mainlevée provisoire : vraisemblance du moyen libératoire. – Notion de vraisemb</w:t>
      </w:r>
    </w:p>
    <w:p>
      <w:pPr>
        <w:pStyle w:val="Heading2"/>
      </w:pPr>
      <w:r>
        <w:t>Volltext</w:t>
      </w:r>
    </w:p>
    <w:p>
      <w:r>
        <w:t>Wallis Kantonsgericht 25.04.2005 RVJ 2006 p. 196-198 (TCVS C3-04-141) Valais Tribunal cantonal 25.04.2005 RVJ 2006 p. 196-198 (TCVS C3-04-141) Vallese Kantonsgericht 25.04.2005 RVJ 2006 p. 196-198 (TCVS C3-04-141)</w:t>
      </w:r>
    </w:p>
    <w:p>
      <w:r>
        <w:t>196 Poursuite pour dettes et faillite (LP) Schuldbetreibungs- und Konkursrecht (SCHKG) TCVS C3 04 141 ATC (Cour de cassation civile) du 25 avril 2005, X. c. Y. Mainlevée provisoire : vraisemblance du moyen libératoire. – Notion de vraisemb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