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2006 p. 179-188 vom 5. April 2005</w:t>
      </w:r>
    </w:p>
    <w:p>
      <w:r>
        <w:t>VS Kantonsgericht, 2005-04-05, DE</w:t>
      </w:r>
    </w:p>
    <w:p>
      <w:r>
        <w:rPr>
          <w:b/>
        </w:rPr>
        <w:t xml:space="preserve">Quelle: </w:t>
      </w:r>
      <w:r>
        <w:t>https://mcp.opencaselaw.ch/entscheid/vs_gerichte_RVJ_2006_p._179-188</w:t>
      </w:r>
    </w:p>
    <w:p>
      <w:r>
        <w:t>FR: VS_GERICHTE RVJ 2006 p. 179-188 du 5 avril 2005</w:t>
      </w:r>
    </w:p>
    <w:p>
      <w:r>
        <w:t>IT: VS_GERICHTE RVJ 2006 p. 179-188 del 5 aprile 2005</w:t>
      </w:r>
    </w:p>
    <w:p>
      <w:pPr>
        <w:pStyle w:val="Heading2"/>
      </w:pPr>
      <w:r>
        <w:t>Regeste</w:t>
      </w:r>
    </w:p>
    <w:p>
      <w:r>
        <w:t>179 TCVS C1 03 164 ATC (IIe Cour civile) du 5 avril 2005, A. c. X. SA Contrat de travail: délimitation entre gratification convenue et salaire (art. 322et 322d CO). – Critères de distinction, plus particulièrement lorsque le salaire contie</w:t>
      </w:r>
    </w:p>
    <w:p>
      <w:pPr>
        <w:pStyle w:val="Heading2"/>
      </w:pPr>
      <w:r>
        <w:t>Volltext</w:t>
      </w:r>
    </w:p>
    <w:p>
      <w:r>
        <w:t>Wallis Kantonsgericht 05.04.2005 RVJ 2006 p. 179-188 (TCVS C1-03-164) Valais Tribunal cantonal 05.04.2005 RVJ 2006 p. 179-188 (TCVS C1-03-164) Vallese Kantonsgericht 05.04.2005 RVJ 2006 p. 179-188 (TCVS C1-03-164)</w:t>
      </w:r>
    </w:p>
    <w:p>
      <w:r>
        <w:t>179 TCVS C1 03 164 ATC (IIe Cour civile) du 5 avril 2005, A. c. X. SA Contrat de travail: délimitation entre gratification convenue et salaire (art. 322et 322d CO). – Critères de distinction, plus particulièrement lorsque le salaire contie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