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2006 p. 125-128 vom 28. Februar 2005</w:t>
      </w:r>
    </w:p>
    <w:p>
      <w:r>
        <w:t>VS Kantonsgericht, 2005-02-28, DE</w:t>
      </w:r>
    </w:p>
    <w:p>
      <w:r>
        <w:rPr>
          <w:b/>
        </w:rPr>
        <w:t xml:space="preserve">Quelle: </w:t>
      </w:r>
      <w:r>
        <w:t>https://mcp.opencaselaw.ch/entscheid/vs_gerichte_RVJ_2006_p._125-128</w:t>
      </w:r>
    </w:p>
    <w:p>
      <w:r>
        <w:t>FR: VS_GERICHTE RVJ 2006 p. 125-128 du 28 février 2005</w:t>
      </w:r>
    </w:p>
    <w:p>
      <w:r>
        <w:t>IT: VS_GERICHTE RVJ 2006 p. 125-128 del 28 febbraio 2005</w:t>
      </w:r>
    </w:p>
    <w:p>
      <w:pPr>
        <w:pStyle w:val="Heading2"/>
      </w:pPr>
      <w:r>
        <w:t>Regeste</w:t>
      </w:r>
    </w:p>
    <w:p>
      <w:r>
        <w:t>125 Allocations familiales Familienzulagen TCVS S1 04 180 ATCA Z. C. c. CIVAF du 28 février 2005 Allocataire (art. 6 al. 2 LAFS; 11 al. 1 et 13 al. 2 RAFS) Lorsque des enfants bénéficient d’une rente complémentaire pour enfants de l’AVS, l</w:t>
      </w:r>
    </w:p>
    <w:p>
      <w:pPr>
        <w:pStyle w:val="Heading2"/>
      </w:pPr>
      <w:r>
        <w:t>Volltext</w:t>
      </w:r>
    </w:p>
    <w:p>
      <w:r>
        <w:t>Wallis Kantonsgericht 28.02.2005 RVJ 2006 p. 125-128 (TCVS S1-04-180) Valais Tribunal cantonal 28.02.2005 RVJ 2006 p. 125-128 (TCVS S1-04-180) Vallese Kantonsgericht 28.02.2005 RVJ 2006 p. 125-128 (TCVS S1-04-180)</w:t>
      </w:r>
    </w:p>
    <w:p>
      <w:r>
        <w:t>125 Allocations familiales Familienzulagen TCVS S1 04 180 ATCA Z. C. c. CIVAF du 28 février 2005 Allocataire (art. 6 al. 2 LAFS; 11 al. 1 et 13 al. 2 RAFS) Lorsque des enfants bénéficient d’une rente complémentaire pour enfants de l’AVS, 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