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14 101 vom 18. Juni 2015</w:t>
      </w:r>
    </w:p>
    <w:p>
      <w:r>
        <w:t>VS Kantonsgericht, 2015-06-18, DE</w:t>
      </w:r>
    </w:p>
    <w:p>
      <w:r>
        <w:rPr>
          <w:b/>
        </w:rPr>
        <w:t xml:space="preserve">Quelle: </w:t>
      </w:r>
      <w:r>
        <w:t>https://mcp.opencaselaw.ch/entscheid/vs_gerichte_KGVS_S2_14_101</w:t>
      </w:r>
    </w:p>
    <w:p>
      <w:r>
        <w:t>FR: VS_GERICHTE KGVS S2 14 101 du 18 juin 2015</w:t>
      </w:r>
    </w:p>
    <w:p>
      <w:r>
        <w:t>IT: VS_GERICHTE KGVS S2 14 101 del 18 giugno 2015</w:t>
      </w:r>
    </w:p>
    <w:p>
      <w:pPr>
        <w:pStyle w:val="Heading2"/>
      </w:pPr>
      <w:r>
        <w:t>Regeste</w:t>
      </w:r>
    </w:p>
    <w:p>
      <w:r>
        <w:t>S2 14 101 URTEIL VOM 18. JUNI 2015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18.06.2015 KGVS S2 14 101 Valais Tribunal cantonal 18.06.2015 KGVS S2 14 101 Vallese Kantonsgericht 18.06.2015 KGVS S2 14 101</w:t>
      </w:r>
    </w:p>
    <w:p>
      <w:r>
        <w:t>S2 14 101 URTEIL VOM 18. JUNI 2015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