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A3 20 34 vom 26. Februar 2021</w:t>
      </w:r>
    </w:p>
    <w:p>
      <w:r>
        <w:t>VS Kantonsgericht, 2021-02-26, DE</w:t>
      </w:r>
    </w:p>
    <w:p>
      <w:r>
        <w:rPr>
          <w:b/>
        </w:rPr>
        <w:t xml:space="preserve">Quelle: </w:t>
      </w:r>
      <w:r>
        <w:t>https://mcp.opencaselaw.ch/entscheid/vs_gerichte_KGVS_A3_20_34</w:t>
      </w:r>
    </w:p>
    <w:p>
      <w:r>
        <w:t>FR: VS_GERICHTE KGVS A3 20 34 du 26 février 2021</w:t>
      </w:r>
    </w:p>
    <w:p>
      <w:r>
        <w:t>IT: VS_GERICHTE KGVS A3 20 34 del 26 febbraio 2021</w:t>
      </w:r>
    </w:p>
    <w:p>
      <w:pPr>
        <w:pStyle w:val="Heading2"/>
      </w:pPr>
      <w:r>
        <w:t>Regeste</w:t>
      </w:r>
    </w:p>
    <w:p>
      <w:r>
        <w:t>A3 20 34 URTEIL VOM 26. FEBRUAR 2021 Kantonsgericht Wallis Öffentlichrechtliche Abteilung Der Einzelrichter des Kantonsgerichtes, Thomas Brunner, urteilend gemäss Art. 34k Abs. 3 des Gesetzes über das Verwaltungsverfahren und die Verwal</w:t>
      </w:r>
    </w:p>
    <w:p>
      <w:pPr>
        <w:pStyle w:val="Heading2"/>
      </w:pPr>
      <w:r>
        <w:t>Volltext</w:t>
      </w:r>
    </w:p>
    <w:p>
      <w:r>
        <w:t>Wallis Kantonsgericht 26.02.2021 KGVS A3 20 34 Valais Tribunal cantonal 26.02.2021 KGVS A3 20 34 Vallese Kantonsgericht 26.02.2021 KGVS A3 20 34</w:t>
      </w:r>
    </w:p>
    <w:p>
      <w:r>
        <w:t>A3 20 34 URTEIL VOM 26. FEBRUAR 2021 Kantonsgericht Wallis Öffentlichrechtliche Abteilung Der Einzelrichter des Kantonsgerichtes, Thomas Brunner, urteilend gemäss Art. 34k Abs. 3 des Gesetzes über das Verwaltungsverfahren und die Verwal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