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A3 11 13 vom 3. Februar 2012</w:t>
      </w:r>
    </w:p>
    <w:p>
      <w:r>
        <w:t>VS Kantonsgericht, 2012-02-03, DE</w:t>
      </w:r>
    </w:p>
    <w:p>
      <w:r>
        <w:rPr>
          <w:b/>
        </w:rPr>
        <w:t xml:space="preserve">Quelle: </w:t>
      </w:r>
      <w:r>
        <w:t>https://mcp.opencaselaw.ch/entscheid/vs_gerichte_KGVS_A3_11_13</w:t>
      </w:r>
    </w:p>
    <w:p>
      <w:r>
        <w:t>FR: VS_GERICHTE KGVS A3 11 13 du 3 février 2012</w:t>
      </w:r>
    </w:p>
    <w:p>
      <w:r>
        <w:t>IT: VS_GERICHTE KGVS A3 11 13 del 3 febbraio 2012</w:t>
      </w:r>
    </w:p>
    <w:p>
      <w:pPr>
        <w:pStyle w:val="Heading2"/>
      </w:pPr>
      <w:r>
        <w:t>Regeste</w:t>
      </w:r>
    </w:p>
    <w:p>
      <w:r>
        <w:t>A3 11 13 URTEIL VOM 3. FEBRUAR 2012 Kantonsgericht Wallis Öffentlichrechtliche Abteilung Der Einzelrichter des Kantonsgerichtes, Thomas Brunner, urteilend gemäss Art. 14 Ziff. 2 und 194bis der Strafprozessordnung vom 22. Februar 1962 (St</w:t>
      </w:r>
    </w:p>
    <w:p>
      <w:pPr>
        <w:pStyle w:val="Heading2"/>
      </w:pPr>
      <w:r>
        <w:t>Volltext</w:t>
      </w:r>
    </w:p>
    <w:p>
      <w:r>
        <w:t>Wallis Kantonsgericht 03.02.2012 KGVS A3 11 13 Valais Tribunal cantonal 03.02.2012 KGVS A3 11 13 Vallese Kantonsgericht 03.02.2012 KGVS A3 11 13</w:t>
      </w:r>
    </w:p>
    <w:p>
      <w:r>
        <w:t>A3 11 13 URTEIL VOM 3. FEBRUAR 2012 Kantonsgericht Wallis Öffentlichrechtliche Abteilung Der Einzelrichter des Kantonsgerichtes, Thomas Brunner, urteilend gemäss Art. 14 Ziff. 2 und 194bis der Strafprozessordnung vom 22. Februar 1962 (St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