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19 146 vom 26. Februar 2020</w:t>
      </w:r>
    </w:p>
    <w:p>
      <w:r>
        <w:t>VS Kantonsgericht, 2020-02-26, DE</w:t>
      </w:r>
    </w:p>
    <w:p>
      <w:r>
        <w:rPr>
          <w:b/>
        </w:rPr>
        <w:t xml:space="preserve">Quelle: </w:t>
      </w:r>
      <w:r>
        <w:t>https://mcp.opencaselaw.ch/entscheid/vs_gerichte_KGVS_A1_19_146</w:t>
      </w:r>
    </w:p>
    <w:p>
      <w:r>
        <w:t>FR: VS_GERICHTE KGVS A1 19 146 du 26 février 2020</w:t>
      </w:r>
    </w:p>
    <w:p>
      <w:r>
        <w:t>IT: VS_GERICHTE KGVS A1 19 146 del 26 febbraio 2020</w:t>
      </w:r>
    </w:p>
    <w:p>
      <w:pPr>
        <w:pStyle w:val="Heading2"/>
      </w:pPr>
      <w:r>
        <w:t>Regeste</w:t>
      </w:r>
    </w:p>
    <w:p>
      <w:r>
        <w:t>A1 19 146 URTEIL VOM 26. FEBRUAR 2020 Kantonsgericht Wallis Öffentlichrechtliche Abteilung Es wirken mit: Christophe Joris, Präsident;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26.02.2020 KGVS A1 19 146 Valais Tribunal cantonal 26.02.2020 KGVS A1 19 146 Vallese Kantonsgericht 26.02.2020 KGVS A1 19 146</w:t>
      </w:r>
    </w:p>
    <w:p>
      <w:r>
        <w:t>A1 19 146 URTEIL VOM 26. FEBRUAR 2020 Kantonsgericht Wallis Öffentlichrechtliche Abteilung Es wirken mit: Christophe Joris, Präsident;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