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RE.2022.0003 vom 31. Mai 2022</w:t>
      </w:r>
    </w:p>
    <w:p>
      <w:r>
        <w:t>VD Tribunal cantonal, 2022-05-31, FR</w:t>
      </w:r>
    </w:p>
    <w:p>
      <w:r>
        <w:rPr>
          <w:b/>
        </w:rPr>
        <w:t xml:space="preserve">Quelle: </w:t>
      </w:r>
      <w:r>
        <w:t>https://mcp.opencaselaw.ch/entscheid/vd_omni_RE.2022.0003</w:t>
      </w:r>
    </w:p>
    <w:p>
      <w:r>
        <w:t>FR: VD_OMNI RE.2022.0003 du 31 mai 2022</w:t>
      </w:r>
    </w:p>
    <w:p>
      <w:r>
        <w:t>IT: VD_OMNI RE.2022.0003 del 31 maggio 2022</w:t>
      </w:r>
    </w:p>
    <w:p>
      <w:pPr>
        <w:pStyle w:val="Heading2"/>
      </w:pPr>
      <w:r>
        <w:t>Regeste</w:t>
      </w:r>
    </w:p>
    <w:p>
      <w:r>
        <w:t>A.________/Le Juge Instructeur (ADZ) du recours au fond, B.________, Direction générale des immeubles et du patrimoine - DGIP | Rejet du recours incident déposé par le soumissionnaire évincé contre la décision du juge instructeur refusant l'octroi de l'effet suspensif au recours en matière de marchés publics. Le recourant ne parvient pas à démontrer avec suffisamment de vraisemblance les chances de succès du recours au fond. En particulier, l'offre de l'adjudicataire paraît conforme au cahier des charges et n'aurait donc vraisemblablement pas dû être exclue pour ce motif. La fixation d'un prix cible pour le marché considéré n'implique a priori pas que les offres supérieures à ce prix doivent être exclues de la procédure. Le juge intimé n'a de plus pas abusé de son pouvoir d'appréciation dans la balance des intérêts publics et privés en cause. Refus de la demande de production des plans de l'offre de l'adjudicataire, inutiles pour la résolution du litige.</w:t>
      </w:r>
    </w:p>
    <w:p>
      <w:pPr>
        <w:pStyle w:val="Heading2"/>
      </w:pPr>
      <w:r>
        <w:t>Erwägungen</w:t>
      </w:r>
    </w:p>
    <w:p>
      <w:r>
        <w:rPr>
          <w:b/>
        </w:rPr>
        <w:t>E. 1</w:t>
      </w:r>
    </w:p>
    <w:p>
      <w:r>
        <w:t>a) Les décisions sur mesures provisionnelles du magistrat instructeur de la CDAP de même que celles relatives à l'effet suspensif peuvent faire l'objet d'un recours incident au tribunal dans les dix jours dès leur notification (art. 94 al. 2, 2 ème phrase, de la loi vaudoise du 28 octobre 2008 sur la procédure administrative - LPA-VD; BLV 173.36). Ces conditions sont respectées en l'espèce. b) Aux termes de l'art. 75 LPA-VD, applicable par analogie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peut être juridique ou de fait. Le recourant doit être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l'admission du recours doit procurer au recourant un avantage de nature économique, matérielle ou autre (ATF 135 II 145 consid. 6.1; 133 II 400 consid. 2.4.2; 133 V 239 consid. 6.2; 131 V 298 consid. 3). Le refus d'octroi de l'effet suspensif au recours déposé dans la cause MPU.2022.0003 autoriserait la conclusion immédiate du contrat portant sur les travaux soumissionnés entre l'autorité adjudicatrice et l'adjudicataire, qui ne pourrait en principe plus être annulé. Aux fins de faire blocage à la conclusion de ce contrat, la recourante, également recourante dans la procédure au fond, dispose d'un intérêt digne de protection à la modification de la décision entreprise et, partant, de la qualité pour recourir.</w:t>
      </w:r>
    </w:p>
    <w:p>
      <w:r>
        <w:rPr>
          <w:b/>
        </w:rPr>
        <w:t>E. 2</w:t>
      </w:r>
    </w:p>
    <w:p>
      <w:r>
        <w:t>a) Selon les art. 80 et 99 LPA-VD, le recours administratif ainsi que le recours de droit administratif au tribunal ont effet suspensif. Cet effet peut être levé si un intérêt public prépondérant le commande (art. 80 al. 2 LPA-VD). Sauf disposition contraire expresse, l'effet suspensif retiré par la loi ne peut pas être restitué (art. 80 al. 3 LPA-VD). La réglementation sur les marchés publics traite de manière spéciale la question de l’effet suspensif en raison des caractéristiques de ce contentieux. En droit fédéral, l’art. 54 de la loi fédérale du 21 juin 2019 sur les marchés publics (LMP; RS 172.056.1) précise que le recours n’a pas effet suspensif (al. 1), mais que, sur demande, l’effet suspensif peut être accordé (al. 2). En matière de marchés publics, les conditions d’octroi de l’effet suspensif doivent être définies de manière conforme au but assigné aux mesures provisoires par l’art. XX §§ 2 et 7 de l’accord de Marrakech du 15 avril 1994 sur les marchés publics (AMP; RS 0.632.231.422); il s’agit de garantir une protection juridique effective et de préserver les possibilités commerciales du recourant. L’octroi de l’effet suspensif a ainsi un rôle déterminant pour assurer une protection juridictionnelle effective du concurrent (Etienne Poltier, Droit des marchés publics, 2014, n. 380, 421 et 424; Evelyne Clerc, L’ouverture des marchés publics: effectivité et protection juridique, 1997, p. 542). Au niveau cantonal, selon les art. 17 de l'Accord intercantonal du 25 novembre 1994 sur les marchés publics (A-IMP; BLV 726.91) et 12 al. 1 de la loi vaudoise du 24 juin 1996 sur les marchés publics (LMP-VD; BLV 726.01), le recours n'a en principe pas d'effet suspensif. Toutefois, l'autorité de recours peut, d'office ou sur demande, accorder l'effet suspensif à un recours pour autant que celui-ci paraisse suffisamment fondé et qu'aucun intérêt public ou privé prépondérant ne s'y oppose (art. 12 al. 2 LMP-VD). Il résulte des dispositions qui précèdent qu'au contraire de ce qui est en règle générale le cas en procédure administrative vaudoise (art. 80 al. 1 LPA-VD), l'octroi de l'effet suspensif à un recours en matière de marchés publics constitue l'exception (arrêt TF 2D_34/2018 du 17 août 2018 consid. 5.2). b) Selon la jurisprudence (arrêt CDAP RE.2017.0001 du 28 février 2017; RE.2008.0003 du 13 août 2008), pour déterminer s'il y a lieu d'octroyer l'effet suspensif, on procède à un examen prima facie du bien-fondé du recours. Si le recours apparaît manifestement irrecevable ou mal fondé et que son résultat ne fait aucun doute, l'effet suspensif n'est pas octroyé. En présence d'un recours qui n'est pas manifestement dénué de chances de succès, il y a lieu de procéder à une balance des intérêts. Dans la pesée des intérêts, il faut comparer l’intérêt du recourant à obtenir l’effet suspensif aux intérêts privés et publics qui lui sont opposés. En faveur de l'effet suspensif, le recourant dispose d'un intérêt privé au maintien de la possibilité d'obtenir l'adjudication, ainsi qu'un intérêt public à garantir une véritable voie de droit. A cela s'ajoutent les intérêts publics à ce que le marché soit en définitive attribué à l'offre qui est effectivement la plus avantageuse et à éviter que l'adjudicateur ne soit obligé de verser, en cas d'exécution du marché moins favorable, une indemnisation au soumissionnaire qui avait été évincé à tort. A ces intérêts s'oppose l'intérêt public du pouvoir adjudicateur à une exécution aussi rapide que possible de la décision. Les intérêts privés de l'adjudicataire, d'ordre notamment économiques ou organisationnels, doivent également être pris en compte. Plus l’examen prima facie du recours tend à démontrer que le recours a des chances de succès, plus l’intérêt public du pouvoir adjudicateur (l’urgence) à conclure le marché doit être important pour permettre de refuser l'effet suspensif (RE.2008.0003 du 13 août 2008 consid. 2c; arrêt TA RE.2004.0032 consid. 2c; Vincent Carron/Jacques Fournier, La protection juridique dans la passation des marchés publics, 2002, p. 100; cf. aussi Jean-Baptiste Zufferey, Le "combat" entre l'effet suspensif et le contrat en droit des marchés publics, in : Mélanges Thomas Fleiner, 2003, p. 689 ss). Lors de l'examen des intérêts en présence, le juge instructeur dispose, pour octroyer ou refuser l'effet suspensif requis, d'une marge d'appréciation considérable; il n'est pas tenu de fonder sa décision sur de longues explications, mais doit arrêter celle-ci principalement sur la base des éléments du dossier (TF 2P.103/2006 du 29 mai 2006 consid. 4.2. et les références citées; dans le même sens, ATAF 2008/7 consid. 3.3). c) Enfin, il sera encore précisé que le pouvoir d'examen de la section du tribunal qui doit statuer sur le recours incident est limité à un contrôle en légalité, comprenant l’abus ou l’excès du pouvoir d’appréciation (cf. art. 98 al. 1 let. a LPA-VD), de la décision du juge intimé. Le tribunal ne peut donc substituer sa propre appréciation à celle du magistrat instructeur et doit seulement vérifier si ce dernier a tenu compte de tous les intérêts importants à prendre en considération (arrêt CDAP RE.2017.0001 du 28 février 2017 consid. 3; RE.2015.0012 du 15 décembre 2015 consid. 1c; RE.2012.0014 du 13 novembre 2012 consid. 3a; RE.2008.0003 du 13 août 2008 consid. 2c et les références citées).</w:t>
      </w:r>
    </w:p>
    <w:p>
      <w:r>
        <w:rPr>
          <w:b/>
        </w:rPr>
        <w:t>E. 3</w:t>
      </w:r>
    </w:p>
    <w:p>
      <w:r>
        <w:t>a) Comme déjà rappelé plus haut, l'art. 75 LPA-VD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140 I 285; ég. arrêts CDAP MPU.2020.0017 du 20 juillet 2020 consid. 1; MPU.2019.0010 du 11 novembre 2019 consid. 1a; MPU.2019.0005 du 31 juillet 2019 consid. 1a; MPU.2018.0038 du 11 février 2018 consid. 1b et les arrêts cités). b) En l'espèce, comme l'a relevé le juge intimé, pour disposer de la qualité pour recourir contre la décision d'adjudication, la recourante doit rendre vraisemblable qu'elle aurait des chances raisonnables de se voir attribuer le marché si ses conclusions étaient accueillies. La recourante, qui s'est vue exclue de la procédure car ses notes à l'issue de la première étape étaient insuffisantes, doit donc non seulement démontrer qu'elle n'aurait pas dû être sortie de la procédure à l'issue de cette étape, mais également rendre vraisemblable qu'une fois son offre réintégrée et évaluée en tenant compte du critère du prix, elle bénéficierait de l'offre la plus favorable. A défaut, son recours sur le fond ne serait pas recevable.</w:t>
      </w:r>
    </w:p>
    <w:p>
      <w:r>
        <w:rPr>
          <w:b/>
        </w:rPr>
        <w:t>E. 4</w:t>
      </w:r>
    </w:p>
    <w:p>
      <w:r>
        <w:t>En matière de marchés publics, le pouvoir d'examen de la cour dépend de la nature des griefs invoqués. L'adjudicateur dispose d'une grande liberté d'appréciation, à tous les stades de la procédure, s'agissant notamment de l'évaluation des offres (MPU.2019.0010 du 11 novembre 2019 consid. 2; MPU.2019.0005 du 31 juillet 2019 consid. 2; MPU.2018.0005 du 19 septembre 2018 consid. 4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MPU.2019.0010 du 11 novembre 2019 consid. 2; MPU.2019.0005 du 31 juillet 2019 consid. 2; MPU.2018.0005 du 19 septembre 2018 consid. 4 et les arrêts cités).</w:t>
      </w:r>
    </w:p>
    <w:p>
      <w:r>
        <w:rPr>
          <w:b/>
        </w:rPr>
        <w:t>E. 4.4</w:t>
      </w:r>
    </w:p>
    <w:p>
      <w:r>
        <w:t>et TF 2P.151/1999 du 30 mai 2000 consid. 4c; MPU.2018.0028 du 1 er avril 2019; MPU.2016.0019 du 14 décembre 2016 consid. 3 et MPU. 2015.0001 du 18 juin 2015 consid. 4a). L'exclusion est régie par l'art. 32 du règlement d’application de la LMP-VD, du 7 juillet 2004 (RLMP-VD; BLV 726.01.1) qui énumère les motifs pour lesquels une offre "peut être exclue", en distinguant entre ceux qui tiennent à la personne du soumissionnaire (1 er tiret) et ceux qui ont trait à l'offre (2 e tiret). Aux termes de l'art. 32 2 e tiret let. a RLMP-VD, une offre peut être exclue lorsqu’elle n’est pas conforme aux prescriptions et aux conditions fixées dans la mise au concours, incomplètement remplie ou ayant subi des adjonctions ou modifications (1 ère phr.); le soumissionnaire, qui a déposé une variante, doit, à côté de celle-ci, remettre une offre correspondant à la formule de soumission (2 e phr.). La violation de cette dernière règle entraîne l'exclusion de la variante (MPU.2021.0033 du 10 mars 2022 consid 4b; GE.2006.0084 du 6 septembre 2006 consid. 2c/cc; MPU.2018.0005 du 19 septembre 2018 consid. 4c/aa avec renvoi à MPU.2014.0024 du 12 mars 2015 consid 2c). d) La conformité de l'offre de l'adjudicataire et son évaluation doivent s'examiner au regard du contenu des documents d'appel d'offre. En l'espèce, le projet architectural retenu à l'issue du concours d'architecte prévoyait sans conteste la réalisation d'une galerie ceinturant l'entier du bâtiment. Dans le cahier d'avant-projet (document K3.01.02 Livrable F), on trouve plusieurs références à l'aménagement des circulations en périphérie du bâtiment et les divers dessins reproduits figurent tous une galerie extérieure et des circulations verticales au niveau des façades. Même si le Livrable F a été validé par le COPIL, celui-ci a toutefois émis de sérieuses réserves à ce stade déjà concernant la galerie, en particulier sur le comportement thermique de la coursive, sur la structure, le fonctionnement et l'exploitation de la façade extérieure et sur le confort acoustique de la coursive. Ce livrable a certes été intégré aux documents annexes de l'appel d'offre, mais uniquement à titre indicatif. Les conditions de base régissant l'appel d'offre pour l’étape 2 sur le plan fonctionnel et technique ont été réunies dans le document K2. Ce document insiste principalement sur la flexibilité du projet, qui développe des grands plateaux externalisant les circulations et concentrant au cœur la densité construite, les flux techniques et les circulations de service; la singularité du projet tient dans ce retournement spatial; les distributions extérieures, les verticales en particulier, constituent une signature à maintenir. Ce cahier précise textuellement, à son chiffre 2.7, que le principe d'une peau de verre mécanisée n'est pas souhaité et que le maître de l'ouvrage laisse toute latitude aux soumissionnaires pour confirmer ou non le principe d'un habillage périphérique. Le rapport d'audit Enveloppe (document K3.05), transmis en annexe, préconise que l'enveloppe doit être entièrement retravaillée afin de simplifier le projet, l'une des pistes en ce sens consistant en la création de zones tampons plus ponctuelles, et non filantes sur toute la façade. Au vu des éléments contenus dans ces documents, il ne ressort pas manifestement que, contrairement aux circulations périphériques verticales qui devaient être maintenues, tel devait nécessairement être le cas pour la galerie. Il semble bien plutôt que l'adjudicateur était peu favorable au maintien de cette structure en tant qu'élément architectural, au vu des difficultés liées à la durabilité de cet espace, tout en insistant sur l'intérêt du concept fonctionnel d'externalisation des circulations du bâtiment. Le projet de B.________, qui propose une rationalisation de la façade avec une suppression de l'espace tampon, maintient le fonctionnement via les circulations extérieures. L'appel d'offre portait par ailleurs également sur la conception du projet, ce qui laissait une latitude aux soumissionnaires pour retravailler l'organisation fonctionnelle du bâtiment. Dans ces conditions, l'évaluation de l'autorité adjudicatrice, qui a considéré que l'offre de l'adjudicataire était conforme au cahier des charges – ne constituant partant pas une variante – ne semble a priori pas insoutenable au vu du large pouvoir d'appréciation dont cette autorité dispose en la matière. On ne distingue ainsi d'emblée pas de motif d'exclusion de l'offre de l'adjudicataire et, par conséquent, d'incidence possible d'une telle exclusion sur la notation des autres soumissionnaires. e) La recourante a sollicité la consultation des plans de l'offre de la société adjudicataire afin de compléter son grief relatif à l'absence de façade double peau. Le droit d'être entendu garanti par l'art. 29 al. 2 de la Constitution fédérale de la Confédération suisse du 18 avril 1999 (Cst.; RS 101) s'applique également aux procédures de marchés publics. Les parties à de telles procédures ont donc en particulier le droit de consulter le dossier et de se déterminer sur les allégués de fait déterminants. La procédure de marchés publics appelle toutefois certains aménagements dans l'application de cette garantie constitutionnelle.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aux termes de l’art. 18 RLMP-VD, les documents fournis par les soumissionnaires, en particulier les secrets d’affaire et de fabrication, sont traités de façon confidentielle (al. 1); l’adjudicateur ne peut faire usage ou transmettre ces documents à des tiers qu’avec l’accord du soumissionnaire concerné (al. 2). Ces règles valent également dans la procédure de recours devant le Tribunal cantonal (MPU.2015.0007 du 21 mai 2015 consid. 5). En l'occurrence, la recourante soutient que l'offre de l'adjudicataire aurait dû être exclue au motif qu'elle ne prévoit pas de galerie ceinturant le bâtiment. Elle souhaite accéder au plan du projet retenu pour compléter ses griefs sur ce point. L'adjudicataire n'a pas contesté sa renonciation à la galerie. Il a produit une photographie de son projet, dont il ressort que le bâtiment projeté ne présente pas de façade double peau et que les circulations verticales ont été maintenues en périphérie. Ces éléments se retrouvent également dans le Tableau récapitulatif des notes et justifications (document K 9.1; pièce no 19 du bordereau de l'autorité adjudicatrice), dans la description faite du projet par l'adjudicateur. Comme on l'a vu ci-dessus, le maintien de la galerie ne constituait vraisemblablement pas une condition de l'appel d'offre. Dans ce cas, au vu de l'intérêt privé de l'adjudicataire à protéger la confidentialité de son offre, et en particulier des plans du projet, il ne se justifie pas de donner suite à la requête de production de pièces de la recourante, qui n'apparaît pas nécessaire à la résolution du litige. f) Au final, la recourante ne parvient pas à rendre vraisemblable que le pouvoir adjudicateur aurait dû exclure l'offre de l'adjudicataire et que son maintien dans les concurrents évalués ait ainsi pu avoir une conséquence sur la notation de l'offre de la recourante. Dans ces conditions, la recevabilité du recours au fond ne va pas de soi, indépendamment de la conformité des offres financières effectuées par les deux autres soumissionnaires. Quoi qu'il en soit, ce grief n'aurait pas non plus prima facie de chance d'aboutir pour les motifs qui suivent.</w:t>
      </w:r>
    </w:p>
    <w:p>
      <w:r>
        <w:rPr>
          <w:b/>
        </w:rPr>
        <w:t>E. 5</w:t>
      </w:r>
    </w:p>
    <w:p>
      <w:r>
        <w:t>D'emblée, le tribunal constate que, dans son recours à l'encontre de la décision sur effet suspensif, la recourante n'a pas remis en cause un certain nombre de griefs examinés par le juge intimé, à savoir ceux relatifs à la méthode d'évaluation à deux enveloppes, à la révision des exigences minimales afin de garantir une concurrence efficace et aux notes qui lui ont été attribuées. Dès lors que ces éléments ne sont pas contestés, il ne sera pas revenu plus avant sur ces griefs. Le tribunal observe toutefois que les considérations développées par le juge intimé sur ces aspects ne prêtent pas le flanc à la critique.</w:t>
      </w:r>
    </w:p>
    <w:p>
      <w:r>
        <w:rPr>
          <w:b/>
        </w:rPr>
        <w:t>E. 6</w:t>
      </w:r>
    </w:p>
    <w:p>
      <w:r>
        <w:t>a) Dans son recours, la recourante conteste le fait que le projet présenté par la société adjudicataire corresponde au cahier des charges de l'appel d'offre. Selon la recourante, le projet retenu s'écarterait fortement du projet lauréat du concours d'architecture en ce sens qu'il présenterait une façade simple peau, une suppression de l'espace tampon et un abandon du fonctionnement via les circulations extérieures. Ces éléments auraient permis à l'adjudicataire de s'affranchir de certaines contraintes techniques et d'obtenir de meilleures notes sur certains critères. Par ailleurs et pour cette même raison, le projet retenu constituerait en réalité une variante de projet et non une offre de base conforme au cahier des charges. Le projet retenu aurait donc dû être exclu de la procédure. Une fois l'offre de B.________ évincée, les prix offerts par les autres soumissionnaires, plus élevés que celui de la recourante, auraient aussi conduit à l'exclusion des autres participants au profit de l'offre de la recourante. b) Le juge intimé a considéré que les critiques émises à l'encontre de la notation de l'offre de l'adjudicataire n'étaient à première vue d'aucune pertinence pour résoudre l'objet du litige, soit de savoir si c'est à juste titre que la recourante a été exclue de la procédure d'adjudication au motif qu'elle a obtenu une note insuffisante pour les critères techniques et organisationnels. Il a également retenu qu'il ne ressortait à première vue pas manifestement des documents de l'appel d'offres qu'il était exigé des soumissionnaires de maintenir la façade double peau prévue par le projet lauréat du concours d'architecture. Avec le magistrat intimé, on peut légitimement se demander dans quelle mesure une exclusion de l'offre de la société adjudicataire pourrait avoir une réelle incidence sur la situation de la recourante. Tel ne serait le cas que si les notes que la recourante a reçues auraient pu être influencées à la hausse en cas d'exclusion du projet retenu. Il convient donc d'examiner ce grief plus avant. c) Le pouvoir adjudicateur est libre de définir les prestations à acquérir et de configurer le marché comme il l'entend en fonction de ses besoins (arrêt TF 2C_1110/2014 du 17 mars 2015 consid. 5.3; MPU.2017.0007 du 9 août 2017 consid. 2b et MPU.2016.0018 du 23 décembre 2016 consid. 2b). L'objet du marché et les différentes prestations attendues doivent être détaillées de manière claire et précise dans l'appel d'offres et les documents d'appels d'offres, afin de respecter le principe de transparence (Etienne Poltier, Droit des marchés publics, Berne 2014, pp. 176 s.). Une fois l'appel d'offres lancé, le pouvoir adjudicateur se trouve lié par le contenu des documents qu'il a lui-même élaborés et il n'est ainsi pas libre de les modifier comme il l'entend après leur publication. C'est ce qu'instaure le "principe de stabilité de l'appel d'offres", en vertu duquel une modification de l'appel d'offres ou du dossier d'appel d'offres ne devrait plus être admissible postérieurement au dépôt, respectivement à l'ouverture des offres, au risque de porter atteinte aux principes de transparence, d'égalité de traitement des soumissionnaires et d'interdiction des négociations (arrêts TF 2P.97/2005 du 28 juin 2006 consid.</w:t>
      </w:r>
    </w:p>
    <w:p>
      <w:r>
        <w:rPr>
          <w:b/>
        </w:rPr>
        <w:t>E. 7</w:t>
      </w:r>
    </w:p>
    <w:p>
      <w:r>
        <w:t>a) La recourante soutient que les prix offerts par les deux autres soumissionnaires pour la réalisation des tranches 1, 2 et 3 sont tous deux supérieurs au montant de CHF 139'500'000 TTC. Le respect de cette cible financière serait impératif, de sorte que les offres des deux autres soumissionnaires, plus élevées que ce montant, auraient dû être exclues du marché. b) En l'espèce, les documents d'appel d'offre indiquent que la valeur globale précitée constitue une estimation et ne prévoient pas d'exclusion au motif du non-respect de la cible. Seule l'absence de fiabilité du prix offert est indiquée comme motif d'exclusion. La position du pouvoir adjudicateur, qui estime que la mention du caractère impératif de la cible ne constitue qu'un encouragement à respecter la valeur estimée du marché, ne dénote ainsi pas d'abus ou d'excès de son pouvoir d'appréciation, tout au moins au stade de la vraisemblance prépondérante. Cette position est confortée par le fait que la cible se compose d'une partie ferme, d'une partie conditionnelle et d'une partie optionnelle. Le maître de l'ouvrage n'est donc pas tenu de développer au final toutes les parties précitées et il n'est engagé strictement sur le plan financier que pour la partie ferme. De plus, la méthode de notation adoptée, qui prévoit que le prix offert le plus bas pris en compte dans le calcul de la note pouvait être celui de l'adjudicateur si celui-ci était en dessous de celui de l'offre la moins disante, implique nécessairement que les offres supérieures à la cible prévue par d'adjudicateur n'étaient pas exclues du marché, mais uniquement moins bien notées. Au regard de ces éléments, l'interprétation que l'autorité intimée fait des conditions posées dans les documents d'appel d'offre ne paraît à première vue pas insoutenable. Aussi, elle ne semble pas avoir abusé de son pouvoir d'appréciation en considérant que les deux autres soumissionnaires remplissaient les conditions de participation à l'étape 3. Ce grief serait donc selon toute vraisemblance également rejeté.</w:t>
      </w:r>
    </w:p>
    <w:p>
      <w:r>
        <w:rPr>
          <w:b/>
        </w:rPr>
        <w:t>E. 8</w:t>
      </w:r>
    </w:p>
    <w:p>
      <w:r>
        <w:t>Dès lors qu'à première vue le recours au fond semble voué à l'échec, sans que cela soit manifeste, il convient de procéder à une balance des intérêts en présence, tel que l'a fait le juge intimé dans la décision entreprise. La construction d'un nouveau bâtiment pour les Sciences de la vie revêtait sans conteste un intérêt public majeur. Il s'agit d'un bâtiment de grande envergure, destiné à accueillir des locaux nécessaires à l'enseignement des sciences dispensé à l'UNIL et à l'EPFL, ainsi que pour la recherche de pointe. La solution d'un projet en entreprise totale a pour conséquence que l'octroi de l'effet suspensif au recours bloquerait l'entier du projet pendant toute la durée de la procédure. Certes, la procédure au fond a avancé en parallèle à celle menée sur le recours incident. Les réponses au recours ont été déposées et le juge instructeur a renoncé à un second échange d'écriture, laissant entendre qu'il pourrait dès lors être passé au jugement sur le fond. Au vu du volume du dossier toutefois et de sa complexité, il est vraisemblable que la reddition d'une décision prenne encore plusieurs semaines, voire plusieurs mois. Or le blocage du projet a des conséquences importantes en termes de coût, aussi bien pour l'autorité intimée que pour l'adjudicataire, en particulier liés à l'incertitude en matière d'engagement de personnel qualifié pour l'organisation du projet, au choix des mandataires et aux négociations avec les sous-traitants. S'il est vrai qu'il n'y a pas lieu de tenir compte de l'échéance politique et que le projet en question a déjà subi divers aléas, comme le relève le juge intimé, il n'en demeure pas moins que l'écoulement du temps a pour effet de rendre progressivement plus impérieuse pour ses futurs utilisateurs la nécessité d'une construction rapide du bâtiment projeté. Dans ces conditions, le juge intimé n'a pas abusé de son pouvoir d'appréciation en considérant que les intérêts publics et privés en présence devaient l'emporter sur l'intérêt privé de la recourante, ce également au regard du niveau de vraisemblance des chances de succès du recours au fond. En fin de compte, au vu des chances de succès limitées de la procédure au fond et de l'importance des intérêts publics et privés en présence, le juge intimé n'a pas excédé ni abusé de son pouvoir d'appréciation en retenant qu'il ne se justifiait pas d'octroyer l'effet suspensif au recours déposé sur le fond.</w:t>
      </w:r>
    </w:p>
    <w:p>
      <w:r>
        <w:rPr>
          <w:b/>
        </w:rPr>
        <w:t>E. 9</w:t>
      </w:r>
    </w:p>
    <w:p>
      <w:r>
        <w:t>Au vu de ce qui précède, le recours incident doit être rejeté et la décision du juge instructeur refusant l'effet suspensif au recours confirmée. La recourante, qui succombe, supportera les frais de la procédure incidente et versera des dépens à l'adjudicataire, qui a procédé par l'intermédiaire d'un avocat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